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0" w:lineRule="atLeast"/>
        <w:rPr>
          <w:rFonts w:eastAsia="黑体"/>
          <w:bCs/>
          <w:sz w:val="48"/>
          <w:szCs w:val="48"/>
        </w:rPr>
      </w:pPr>
    </w:p>
    <w:p>
      <w:pPr>
        <w:pStyle w:val="2"/>
      </w:pPr>
    </w:p>
    <w:p>
      <w:pPr>
        <w:adjustRightInd w:val="0"/>
        <w:snapToGrid w:val="0"/>
        <w:spacing w:line="0" w:lineRule="atLeast"/>
        <w:rPr>
          <w:rFonts w:eastAsia="黑体"/>
          <w:bCs/>
          <w:sz w:val="48"/>
          <w:szCs w:val="48"/>
        </w:rPr>
      </w:pPr>
    </w:p>
    <w:p>
      <w:pPr>
        <w:widowControl/>
        <w:snapToGrid w:val="0"/>
        <w:spacing w:line="700" w:lineRule="atLeast"/>
        <w:ind w:firstLine="0" w:firstLineChars="0"/>
        <w:jc w:val="center"/>
        <w:rPr>
          <w:color w:val="000000"/>
          <w:spacing w:val="-10"/>
          <w:kern w:val="0"/>
          <w:sz w:val="48"/>
          <w:szCs w:val="48"/>
        </w:rPr>
      </w:pPr>
      <w:bookmarkStart w:id="72" w:name="_GoBack"/>
      <w:r>
        <w:rPr>
          <w:rFonts w:hint="eastAsia" w:eastAsia="黑体"/>
          <w:color w:val="000000"/>
          <w:spacing w:val="-10"/>
          <w:kern w:val="0"/>
          <w:sz w:val="48"/>
          <w:szCs w:val="48"/>
        </w:rPr>
        <w:t>丰顺县建桥镇</w:t>
      </w:r>
      <w:bookmarkEnd w:id="72"/>
      <w:r>
        <w:rPr>
          <w:rFonts w:hint="eastAsia" w:eastAsia="黑体"/>
          <w:color w:val="000000"/>
          <w:spacing w:val="-10"/>
          <w:kern w:val="0"/>
          <w:sz w:val="48"/>
          <w:szCs w:val="48"/>
        </w:rPr>
        <w:t>洋坑水库除险加固工程</w:t>
      </w:r>
    </w:p>
    <w:p>
      <w:pPr>
        <w:spacing w:before="156" w:beforeLines="50" w:after="156" w:afterLines="50" w:line="0" w:lineRule="atLeast"/>
        <w:ind w:firstLine="0" w:firstLineChars="0"/>
        <w:jc w:val="center"/>
        <w:rPr>
          <w:rFonts w:eastAsia="黑体"/>
          <w:sz w:val="48"/>
          <w:szCs w:val="48"/>
        </w:rPr>
      </w:pPr>
      <w:r>
        <w:rPr>
          <w:rFonts w:hint="eastAsia" w:eastAsia="黑体"/>
          <w:color w:val="000000"/>
          <w:spacing w:val="-10"/>
          <w:kern w:val="0"/>
          <w:sz w:val="48"/>
          <w:szCs w:val="48"/>
        </w:rPr>
        <w:t>初步设计</w:t>
      </w:r>
      <w:r>
        <w:rPr>
          <w:rFonts w:eastAsia="黑体"/>
          <w:color w:val="000000"/>
          <w:spacing w:val="-10"/>
          <w:kern w:val="0"/>
          <w:sz w:val="48"/>
          <w:szCs w:val="48"/>
        </w:rPr>
        <w:t>报告</w:t>
      </w:r>
    </w:p>
    <w:p>
      <w:pPr>
        <w:adjustRightInd w:val="0"/>
        <w:snapToGrid w:val="0"/>
        <w:spacing w:line="0" w:lineRule="atLeast"/>
        <w:ind w:firstLine="964"/>
        <w:rPr>
          <w:rFonts w:eastAsia="黑体"/>
          <w:b/>
          <w:bCs/>
          <w:snapToGrid w:val="0"/>
          <w:kern w:val="0"/>
          <w:sz w:val="48"/>
          <w:szCs w:val="48"/>
        </w:rPr>
      </w:pPr>
    </w:p>
    <w:p>
      <w:pPr>
        <w:pStyle w:val="2"/>
        <w:ind w:firstLine="964"/>
        <w:rPr>
          <w:rFonts w:eastAsia="黑体"/>
          <w:b/>
          <w:bCs/>
          <w:snapToGrid w:val="0"/>
          <w:kern w:val="0"/>
          <w:sz w:val="48"/>
          <w:szCs w:val="48"/>
        </w:rPr>
      </w:pPr>
    </w:p>
    <w:p>
      <w:pPr>
        <w:pStyle w:val="3"/>
      </w:pPr>
    </w:p>
    <w:p>
      <w:pPr>
        <w:pStyle w:val="3"/>
        <w:ind w:left="480" w:hanging="480"/>
      </w:pPr>
    </w:p>
    <w:p>
      <w:pPr>
        <w:spacing w:line="560" w:lineRule="atLeast"/>
        <w:ind w:firstLine="0" w:firstLineChars="0"/>
        <w:jc w:val="center"/>
        <w:rPr>
          <w:rFonts w:eastAsia="黑体"/>
          <w:sz w:val="36"/>
          <w:szCs w:val="36"/>
        </w:rPr>
      </w:pPr>
      <w:r>
        <w:rPr>
          <w:rFonts w:hint="eastAsia" w:eastAsia="黑体"/>
          <w:b/>
          <w:bCs/>
          <w:sz w:val="36"/>
          <w:szCs w:val="36"/>
        </w:rPr>
        <w:t>1</w:t>
      </w:r>
      <w:r>
        <w:rPr>
          <w:rFonts w:eastAsia="黑体"/>
          <w:b/>
          <w:bCs/>
          <w:sz w:val="36"/>
          <w:szCs w:val="36"/>
        </w:rPr>
        <w:t>1</w:t>
      </w:r>
      <w:r>
        <w:rPr>
          <w:rFonts w:eastAsia="黑体"/>
          <w:bCs/>
          <w:sz w:val="36"/>
          <w:szCs w:val="36"/>
        </w:rPr>
        <w:t xml:space="preserve">  </w:t>
      </w:r>
      <w:r>
        <w:rPr>
          <w:rFonts w:hint="eastAsia" w:eastAsia="黑体"/>
          <w:bCs/>
          <w:sz w:val="36"/>
          <w:szCs w:val="36"/>
        </w:rPr>
        <w:t>劳动安全与工业卫生</w:t>
      </w:r>
    </w:p>
    <w:p>
      <w:pPr>
        <w:spacing w:line="600" w:lineRule="atLeast"/>
        <w:ind w:firstLine="560"/>
        <w:jc w:val="center"/>
        <w:rPr>
          <w:sz w:val="28"/>
          <w:szCs w:val="28"/>
        </w:rPr>
      </w:pPr>
    </w:p>
    <w:p>
      <w:pPr>
        <w:spacing w:line="600" w:lineRule="atLeast"/>
        <w:ind w:firstLine="560"/>
        <w:jc w:val="center"/>
        <w:rPr>
          <w:sz w:val="28"/>
          <w:szCs w:val="28"/>
        </w:rPr>
      </w:pPr>
    </w:p>
    <w:p>
      <w:pPr>
        <w:spacing w:line="600" w:lineRule="atLeast"/>
        <w:ind w:left="3360" w:leftChars="1400" w:firstLine="1120" w:firstLineChars="400"/>
        <w:rPr>
          <w:sz w:val="28"/>
          <w:szCs w:val="28"/>
        </w:rPr>
      </w:pPr>
    </w:p>
    <w:p>
      <w:pPr>
        <w:spacing w:line="500" w:lineRule="atLeast"/>
        <w:ind w:firstLine="480"/>
        <w:jc w:val="center"/>
      </w:pPr>
    </w:p>
    <w:p>
      <w:pPr>
        <w:spacing w:line="500" w:lineRule="atLeast"/>
        <w:ind w:firstLine="480"/>
        <w:jc w:val="center"/>
      </w:pPr>
    </w:p>
    <w:p>
      <w:pPr>
        <w:spacing w:line="500" w:lineRule="atLeast"/>
        <w:ind w:firstLine="480"/>
        <w:jc w:val="center"/>
      </w:pPr>
    </w:p>
    <w:p>
      <w:pPr>
        <w:spacing w:line="500" w:lineRule="atLeast"/>
        <w:ind w:firstLine="480"/>
        <w:jc w:val="center"/>
      </w:pPr>
    </w:p>
    <w:p>
      <w:pPr>
        <w:spacing w:line="500" w:lineRule="atLeast"/>
        <w:ind w:firstLine="480"/>
        <w:jc w:val="center"/>
      </w:pPr>
    </w:p>
    <w:p>
      <w:pPr>
        <w:spacing w:line="500" w:lineRule="atLeast"/>
        <w:ind w:firstLine="480"/>
        <w:jc w:val="center"/>
      </w:pPr>
    </w:p>
    <w:p>
      <w:pPr>
        <w:spacing w:line="500" w:lineRule="atLeast"/>
        <w:ind w:firstLine="480"/>
        <w:jc w:val="center"/>
      </w:pPr>
    </w:p>
    <w:p>
      <w:pPr>
        <w:spacing w:line="500" w:lineRule="atLeast"/>
        <w:ind w:firstLine="480"/>
        <w:jc w:val="center"/>
      </w:pPr>
    </w:p>
    <w:p>
      <w:pPr>
        <w:spacing w:line="240" w:lineRule="auto"/>
        <w:ind w:firstLine="0" w:firstLineChars="0"/>
        <w:jc w:val="center"/>
        <w:rPr>
          <w:rFonts w:eastAsia="黑体"/>
          <w:bCs/>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sdt>
      <w:sdtPr>
        <w:rPr>
          <w:rFonts w:hint="eastAsia" w:eastAsia="黑体"/>
          <w:bCs/>
          <w:sz w:val="36"/>
          <w:szCs w:val="36"/>
        </w:rPr>
        <w:id w:val="147463320"/>
        <w15:color w:val="DBDBDB"/>
        <w:docPartObj>
          <w:docPartGallery w:val="Table of Contents"/>
          <w:docPartUnique/>
        </w:docPartObj>
      </w:sdtPr>
      <w:sdtEndPr>
        <w:rPr>
          <w:rFonts w:hint="default" w:eastAsia="宋体"/>
          <w:bCs/>
          <w:sz w:val="21"/>
          <w:szCs w:val="24"/>
        </w:rPr>
      </w:sdtEndPr>
      <w:sdtContent>
        <w:p>
          <w:pPr>
            <w:spacing w:line="240" w:lineRule="auto"/>
            <w:ind w:firstLine="0" w:firstLineChars="0"/>
            <w:jc w:val="center"/>
            <w:rPr>
              <w:rFonts w:ascii="宋体" w:hAnsi="宋体"/>
              <w:sz w:val="36"/>
              <w:szCs w:val="36"/>
            </w:rPr>
          </w:pPr>
          <w:r>
            <w:rPr>
              <w:rFonts w:ascii="宋体" w:hAnsi="宋体"/>
              <w:sz w:val="36"/>
              <w:szCs w:val="36"/>
            </w:rPr>
            <w:t>目录</w:t>
          </w:r>
        </w:p>
        <w:p>
          <w:pPr>
            <w:pStyle w:val="2"/>
            <w:ind w:firstLine="480"/>
          </w:pP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firstLine="0" w:firstLineChars="0"/>
            <w:textAlignment w:val="auto"/>
            <w:rPr>
              <w:sz w:val="28"/>
              <w:szCs w:val="28"/>
            </w:rPr>
          </w:pPr>
          <w:r>
            <w:rPr>
              <w:sz w:val="28"/>
              <w:szCs w:val="28"/>
            </w:rPr>
            <w:fldChar w:fldCharType="begin"/>
          </w:r>
          <w:r>
            <w:rPr>
              <w:sz w:val="28"/>
              <w:szCs w:val="28"/>
            </w:rPr>
            <w:instrText xml:space="preserve">TOC \o "1-2" \h \u </w:instrText>
          </w:r>
          <w:r>
            <w:rPr>
              <w:sz w:val="28"/>
              <w:szCs w:val="28"/>
            </w:rPr>
            <w:fldChar w:fldCharType="separate"/>
          </w:r>
          <w:r>
            <w:fldChar w:fldCharType="begin"/>
          </w:r>
          <w:r>
            <w:instrText xml:space="preserve"> HYPERLINK \l "_Toc16572" </w:instrText>
          </w:r>
          <w:r>
            <w:fldChar w:fldCharType="separate"/>
          </w:r>
          <w:r>
            <w:rPr>
              <w:sz w:val="28"/>
              <w:szCs w:val="28"/>
            </w:rPr>
            <w:t>11.1  危险与有害因素分析</w:t>
          </w:r>
          <w:r>
            <w:rPr>
              <w:sz w:val="28"/>
              <w:szCs w:val="28"/>
            </w:rPr>
            <w:tab/>
          </w:r>
          <w:r>
            <w:rPr>
              <w:sz w:val="28"/>
              <w:szCs w:val="28"/>
            </w:rPr>
            <w:t>1</w:t>
          </w:r>
          <w:r>
            <w:rPr>
              <w:rFonts w:hint="eastAsia"/>
              <w:sz w:val="28"/>
              <w:szCs w:val="28"/>
              <w:lang w:val="en-US" w:eastAsia="zh-CN"/>
            </w:rPr>
            <w:t>1</w:t>
          </w:r>
          <w:r>
            <w:rPr>
              <w:sz w:val="28"/>
              <w:szCs w:val="28"/>
            </w:rPr>
            <w:t>-</w:t>
          </w:r>
          <w:r>
            <w:rPr>
              <w:sz w:val="28"/>
              <w:szCs w:val="28"/>
            </w:rPr>
            <w:fldChar w:fldCharType="begin"/>
          </w:r>
          <w:r>
            <w:rPr>
              <w:sz w:val="28"/>
              <w:szCs w:val="28"/>
            </w:rPr>
            <w:instrText xml:space="preserve"> PAGEREF _Toc16572 \h </w:instrText>
          </w:r>
          <w:r>
            <w:rPr>
              <w:sz w:val="28"/>
              <w:szCs w:val="28"/>
            </w:rPr>
            <w:fldChar w:fldCharType="separate"/>
          </w:r>
          <w:r>
            <w:rPr>
              <w:sz w:val="28"/>
              <w:szCs w:val="28"/>
            </w:rPr>
            <w:t>1</w:t>
          </w:r>
          <w:r>
            <w:rPr>
              <w:sz w:val="28"/>
              <w:szCs w:val="28"/>
            </w:rPr>
            <w:fldChar w:fldCharType="end"/>
          </w:r>
          <w:r>
            <w:rPr>
              <w:sz w:val="28"/>
              <w:szCs w:val="28"/>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firstLine="0" w:firstLineChars="0"/>
            <w:textAlignment w:val="auto"/>
            <w:rPr>
              <w:sz w:val="28"/>
              <w:szCs w:val="28"/>
            </w:rPr>
          </w:pPr>
          <w:r>
            <w:fldChar w:fldCharType="begin"/>
          </w:r>
          <w:r>
            <w:instrText xml:space="preserve"> HYPERLINK \l "_Toc28273" </w:instrText>
          </w:r>
          <w:r>
            <w:fldChar w:fldCharType="separate"/>
          </w:r>
          <w:r>
            <w:rPr>
              <w:sz w:val="28"/>
              <w:szCs w:val="28"/>
            </w:rPr>
            <w:t>11.2  劳动安全措施</w:t>
          </w:r>
          <w:r>
            <w:rPr>
              <w:sz w:val="28"/>
              <w:szCs w:val="28"/>
            </w:rPr>
            <w:tab/>
          </w:r>
          <w:r>
            <w:rPr>
              <w:sz w:val="28"/>
              <w:szCs w:val="28"/>
            </w:rPr>
            <w:t>1</w:t>
          </w:r>
          <w:r>
            <w:rPr>
              <w:rFonts w:hint="eastAsia"/>
              <w:sz w:val="28"/>
              <w:szCs w:val="28"/>
              <w:lang w:val="en-US" w:eastAsia="zh-CN"/>
            </w:rPr>
            <w:t>1</w:t>
          </w:r>
          <w:r>
            <w:rPr>
              <w:sz w:val="28"/>
              <w:szCs w:val="28"/>
            </w:rPr>
            <w:t>-</w:t>
          </w:r>
          <w:r>
            <w:rPr>
              <w:sz w:val="28"/>
              <w:szCs w:val="28"/>
            </w:rPr>
            <w:fldChar w:fldCharType="begin"/>
          </w:r>
          <w:r>
            <w:rPr>
              <w:sz w:val="28"/>
              <w:szCs w:val="28"/>
            </w:rPr>
            <w:instrText xml:space="preserve"> PAGEREF _Toc28273 \h </w:instrText>
          </w:r>
          <w:r>
            <w:rPr>
              <w:sz w:val="28"/>
              <w:szCs w:val="28"/>
            </w:rPr>
            <w:fldChar w:fldCharType="separate"/>
          </w:r>
          <w:r>
            <w:rPr>
              <w:sz w:val="28"/>
              <w:szCs w:val="28"/>
            </w:rPr>
            <w:t>5</w:t>
          </w:r>
          <w:r>
            <w:rPr>
              <w:sz w:val="28"/>
              <w:szCs w:val="28"/>
            </w:rPr>
            <w:fldChar w:fldCharType="end"/>
          </w:r>
          <w:r>
            <w:rPr>
              <w:sz w:val="28"/>
              <w:szCs w:val="28"/>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firstLine="0" w:firstLineChars="0"/>
            <w:textAlignment w:val="auto"/>
            <w:rPr>
              <w:sz w:val="28"/>
              <w:szCs w:val="28"/>
            </w:rPr>
          </w:pPr>
          <w:r>
            <w:fldChar w:fldCharType="begin"/>
          </w:r>
          <w:r>
            <w:instrText xml:space="preserve"> HYPERLINK \l "_Toc32202" </w:instrText>
          </w:r>
          <w:r>
            <w:fldChar w:fldCharType="separate"/>
          </w:r>
          <w:r>
            <w:rPr>
              <w:sz w:val="28"/>
              <w:szCs w:val="28"/>
            </w:rPr>
            <w:t>11.3  工业卫生措施</w:t>
          </w:r>
          <w:r>
            <w:rPr>
              <w:sz w:val="28"/>
              <w:szCs w:val="28"/>
            </w:rPr>
            <w:tab/>
          </w:r>
          <w:r>
            <w:rPr>
              <w:sz w:val="28"/>
              <w:szCs w:val="28"/>
            </w:rPr>
            <w:t>1</w:t>
          </w:r>
          <w:r>
            <w:rPr>
              <w:rFonts w:hint="eastAsia"/>
              <w:sz w:val="28"/>
              <w:szCs w:val="28"/>
              <w:lang w:val="en-US" w:eastAsia="zh-CN"/>
            </w:rPr>
            <w:t>1</w:t>
          </w:r>
          <w:r>
            <w:rPr>
              <w:sz w:val="28"/>
              <w:szCs w:val="28"/>
            </w:rPr>
            <w:t>-</w:t>
          </w:r>
          <w:r>
            <w:rPr>
              <w:sz w:val="28"/>
              <w:szCs w:val="28"/>
            </w:rPr>
            <w:fldChar w:fldCharType="begin"/>
          </w:r>
          <w:r>
            <w:rPr>
              <w:sz w:val="28"/>
              <w:szCs w:val="28"/>
            </w:rPr>
            <w:instrText xml:space="preserve"> PAGEREF _Toc32202 \h </w:instrText>
          </w:r>
          <w:r>
            <w:rPr>
              <w:sz w:val="28"/>
              <w:szCs w:val="28"/>
            </w:rPr>
            <w:fldChar w:fldCharType="separate"/>
          </w:r>
          <w:r>
            <w:rPr>
              <w:sz w:val="28"/>
              <w:szCs w:val="28"/>
            </w:rPr>
            <w:t>7</w:t>
          </w:r>
          <w:r>
            <w:rPr>
              <w:sz w:val="28"/>
              <w:szCs w:val="28"/>
            </w:rPr>
            <w:fldChar w:fldCharType="end"/>
          </w:r>
          <w:r>
            <w:rPr>
              <w:sz w:val="28"/>
              <w:szCs w:val="28"/>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firstLine="0" w:firstLineChars="0"/>
            <w:textAlignment w:val="auto"/>
            <w:rPr>
              <w:sz w:val="28"/>
              <w:szCs w:val="28"/>
            </w:rPr>
          </w:pPr>
          <w:r>
            <w:fldChar w:fldCharType="begin"/>
          </w:r>
          <w:r>
            <w:instrText xml:space="preserve"> HYPERLINK \l "_Toc133" </w:instrText>
          </w:r>
          <w:r>
            <w:fldChar w:fldCharType="separate"/>
          </w:r>
          <w:r>
            <w:rPr>
              <w:sz w:val="28"/>
              <w:szCs w:val="28"/>
            </w:rPr>
            <w:t>11.4  安全卫生</w:t>
          </w:r>
          <w:r>
            <w:rPr>
              <w:rFonts w:hint="eastAsia"/>
              <w:sz w:val="28"/>
              <w:szCs w:val="28"/>
            </w:rPr>
            <w:t>管理</w:t>
          </w:r>
          <w:r>
            <w:rPr>
              <w:sz w:val="28"/>
              <w:szCs w:val="28"/>
            </w:rPr>
            <w:tab/>
          </w:r>
          <w:r>
            <w:rPr>
              <w:sz w:val="28"/>
              <w:szCs w:val="28"/>
            </w:rPr>
            <w:t>1</w:t>
          </w:r>
          <w:r>
            <w:rPr>
              <w:rFonts w:hint="eastAsia"/>
              <w:sz w:val="28"/>
              <w:szCs w:val="28"/>
              <w:lang w:val="en-US" w:eastAsia="zh-CN"/>
            </w:rPr>
            <w:t>1</w:t>
          </w:r>
          <w:r>
            <w:rPr>
              <w:sz w:val="28"/>
              <w:szCs w:val="28"/>
            </w:rPr>
            <w:t>-</w:t>
          </w:r>
          <w:r>
            <w:rPr>
              <w:sz w:val="28"/>
              <w:szCs w:val="28"/>
            </w:rPr>
            <w:fldChar w:fldCharType="begin"/>
          </w:r>
          <w:r>
            <w:rPr>
              <w:sz w:val="28"/>
              <w:szCs w:val="28"/>
            </w:rPr>
            <w:instrText xml:space="preserve"> PAGEREF _Toc133 \h </w:instrText>
          </w:r>
          <w:r>
            <w:rPr>
              <w:sz w:val="28"/>
              <w:szCs w:val="28"/>
            </w:rPr>
            <w:fldChar w:fldCharType="separate"/>
          </w:r>
          <w:r>
            <w:rPr>
              <w:sz w:val="28"/>
              <w:szCs w:val="28"/>
            </w:rPr>
            <w:t>9</w:t>
          </w:r>
          <w:r>
            <w:rPr>
              <w:sz w:val="28"/>
              <w:szCs w:val="28"/>
            </w:rPr>
            <w:fldChar w:fldCharType="end"/>
          </w:r>
          <w:r>
            <w:rPr>
              <w:sz w:val="28"/>
              <w:szCs w:val="28"/>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360" w:lineRule="auto"/>
            <w:ind w:left="0" w:leftChars="0" w:firstLine="0" w:firstLineChars="0"/>
            <w:textAlignment w:val="auto"/>
          </w:pPr>
          <w:r>
            <w:rPr>
              <w:sz w:val="28"/>
              <w:szCs w:val="28"/>
            </w:rPr>
            <w:fldChar w:fldCharType="end"/>
          </w:r>
        </w:p>
      </w:sdtContent>
    </w:sdt>
    <w:p>
      <w:pPr>
        <w:spacing w:line="520" w:lineRule="atLeast"/>
        <w:ind w:firstLine="602"/>
        <w:jc w:val="center"/>
        <w:rPr>
          <w:rFonts w:eastAsia="黑体"/>
          <w:b/>
          <w:bCs/>
          <w:sz w:val="30"/>
          <w:szCs w:val="30"/>
        </w:rPr>
        <w:sectPr>
          <w:footerReference r:id="rId11" w:type="default"/>
          <w:pgSz w:w="11906" w:h="16838"/>
          <w:pgMar w:top="1440" w:right="1800" w:bottom="1440" w:left="1800" w:header="851" w:footer="992" w:gutter="0"/>
          <w:pgNumType w:start="1"/>
          <w:cols w:space="425" w:num="1"/>
          <w:docGrid w:type="lines" w:linePitch="312" w:charSpace="0"/>
        </w:sectPr>
      </w:pPr>
    </w:p>
    <w:p>
      <w:pPr>
        <w:spacing w:line="520" w:lineRule="atLeast"/>
        <w:ind w:firstLine="602"/>
        <w:jc w:val="center"/>
        <w:rPr>
          <w:rFonts w:eastAsia="黑体"/>
          <w:bCs/>
          <w:sz w:val="30"/>
          <w:szCs w:val="30"/>
        </w:rPr>
      </w:pPr>
      <w:r>
        <w:rPr>
          <w:rFonts w:hint="eastAsia" w:eastAsia="黑体"/>
          <w:b/>
          <w:bCs/>
          <w:sz w:val="30"/>
          <w:szCs w:val="30"/>
        </w:rPr>
        <w:t>1</w:t>
      </w:r>
      <w:r>
        <w:rPr>
          <w:rFonts w:eastAsia="黑体"/>
          <w:b/>
          <w:bCs/>
          <w:sz w:val="30"/>
          <w:szCs w:val="30"/>
        </w:rPr>
        <w:t>1</w:t>
      </w:r>
      <w:r>
        <w:rPr>
          <w:rFonts w:eastAsia="黑体"/>
          <w:bCs/>
          <w:sz w:val="30"/>
          <w:szCs w:val="30"/>
        </w:rPr>
        <w:t xml:space="preserve">  </w:t>
      </w:r>
      <w:r>
        <w:rPr>
          <w:rFonts w:hint="eastAsia" w:eastAsia="黑体"/>
          <w:bCs/>
          <w:sz w:val="30"/>
          <w:szCs w:val="30"/>
        </w:rPr>
        <w:t>劳动安全与工业卫生</w:t>
      </w:r>
    </w:p>
    <w:p>
      <w:pPr>
        <w:pStyle w:val="5"/>
        <w:spacing w:before="156" w:beforeLines="50" w:after="156" w:afterLines="50" w:line="360" w:lineRule="auto"/>
      </w:pPr>
      <w:bookmarkStart w:id="0" w:name="_Toc16572"/>
      <w:r>
        <w:rPr>
          <w:rFonts w:hint="eastAsia"/>
        </w:rPr>
        <w:t>1</w:t>
      </w:r>
      <w:r>
        <w:t>1</w:t>
      </w:r>
      <w:r>
        <w:rPr>
          <w:rFonts w:hint="eastAsia"/>
        </w:rPr>
        <w:t>.1  危险与有害因素分析</w:t>
      </w:r>
      <w:bookmarkEnd w:id="0"/>
    </w:p>
    <w:p>
      <w:pPr>
        <w:pStyle w:val="6"/>
        <w:spacing w:before="156" w:beforeLines="50" w:after="156" w:afterLines="50"/>
      </w:pPr>
      <w:bookmarkStart w:id="1" w:name="_Toc462735446"/>
      <w:bookmarkStart w:id="2" w:name="_Toc405279527"/>
      <w:bookmarkStart w:id="3" w:name="_Toc405279573"/>
      <w:bookmarkStart w:id="4" w:name="_Toc394735990"/>
      <w:bookmarkStart w:id="5" w:name="_Toc405279673"/>
      <w:r>
        <w:t>11.1</w:t>
      </w:r>
      <w:r>
        <w:rPr>
          <w:rFonts w:hint="eastAsia"/>
        </w:rPr>
        <w:t>.</w:t>
      </w:r>
      <w:r>
        <w:t>1 设计依据</w:t>
      </w:r>
    </w:p>
    <w:p>
      <w:pPr>
        <w:pStyle w:val="38"/>
        <w:spacing w:before="156" w:beforeLines="50" w:after="156" w:line="360" w:lineRule="auto"/>
        <w:outlineLvl w:val="3"/>
        <w:rPr>
          <w:rFonts w:ascii="宋体" w:hAnsi="宋体" w:eastAsia="宋体"/>
          <w:b/>
          <w:bCs/>
        </w:rPr>
      </w:pPr>
      <w:r>
        <w:rPr>
          <w:rFonts w:ascii="宋体" w:hAnsi="宋体" w:eastAsia="宋体"/>
          <w:b/>
          <w:bCs/>
          <w:sz w:val="24"/>
          <w:szCs w:val="24"/>
        </w:rPr>
        <w:t xml:space="preserve">11.1.1.1  </w:t>
      </w:r>
      <w:r>
        <w:rPr>
          <w:rFonts w:hint="eastAsia" w:ascii="宋体" w:hAnsi="宋体" w:eastAsia="宋体"/>
          <w:b/>
          <w:bCs/>
          <w:sz w:val="24"/>
          <w:szCs w:val="24"/>
        </w:rPr>
        <w:t>法律法规、主要技术标准和相关文件</w:t>
      </w:r>
      <w:bookmarkEnd w:id="1"/>
      <w:bookmarkEnd w:id="2"/>
      <w:bookmarkEnd w:id="3"/>
      <w:bookmarkEnd w:id="4"/>
      <w:bookmarkEnd w:id="5"/>
    </w:p>
    <w:p>
      <w:pPr>
        <w:tabs>
          <w:tab w:val="left" w:pos="360"/>
        </w:tabs>
        <w:adjustRightInd w:val="0"/>
        <w:snapToGrid w:val="0"/>
        <w:spacing w:line="500" w:lineRule="atLeast"/>
        <w:ind w:firstLine="480"/>
        <w:rPr>
          <w:kern w:val="0"/>
        </w:rPr>
      </w:pPr>
      <w:r>
        <w:rPr>
          <w:rFonts w:hint="eastAsia"/>
          <w:kern w:val="0"/>
        </w:rPr>
        <w:t>（1）中华人民共和国安全生产法《主席令 第70号》(2002.11.1)</w:t>
      </w:r>
    </w:p>
    <w:p>
      <w:pPr>
        <w:tabs>
          <w:tab w:val="left" w:pos="360"/>
        </w:tabs>
        <w:adjustRightInd w:val="0"/>
        <w:snapToGrid w:val="0"/>
        <w:spacing w:line="500" w:lineRule="atLeast"/>
        <w:ind w:firstLine="480"/>
        <w:rPr>
          <w:kern w:val="0"/>
        </w:rPr>
      </w:pPr>
      <w:r>
        <w:rPr>
          <w:rFonts w:hint="eastAsia"/>
          <w:kern w:val="0"/>
        </w:rPr>
        <w:t>（2）中华人民共和国劳动法《主席令 第28号》</w:t>
      </w:r>
    </w:p>
    <w:p>
      <w:pPr>
        <w:tabs>
          <w:tab w:val="left" w:pos="360"/>
        </w:tabs>
        <w:adjustRightInd w:val="0"/>
        <w:snapToGrid w:val="0"/>
        <w:spacing w:line="500" w:lineRule="atLeast"/>
        <w:ind w:firstLine="480"/>
        <w:rPr>
          <w:kern w:val="0"/>
        </w:rPr>
      </w:pPr>
      <w:r>
        <w:rPr>
          <w:rFonts w:hint="eastAsia"/>
          <w:kern w:val="0"/>
        </w:rPr>
        <w:t>（3）中华人民共和国电力法《主席令 第32号》(1996.4.1)</w:t>
      </w:r>
    </w:p>
    <w:p>
      <w:pPr>
        <w:tabs>
          <w:tab w:val="left" w:pos="360"/>
        </w:tabs>
        <w:adjustRightInd w:val="0"/>
        <w:snapToGrid w:val="0"/>
        <w:spacing w:line="500" w:lineRule="atLeast"/>
        <w:ind w:firstLine="480"/>
        <w:rPr>
          <w:kern w:val="0"/>
        </w:rPr>
      </w:pPr>
      <w:r>
        <w:rPr>
          <w:rFonts w:hint="eastAsia"/>
          <w:kern w:val="0"/>
        </w:rPr>
        <w:t>（4）中华人民共和国防洪法《主席令 第88号》(1998.1.1)</w:t>
      </w:r>
    </w:p>
    <w:p>
      <w:pPr>
        <w:tabs>
          <w:tab w:val="left" w:pos="360"/>
        </w:tabs>
        <w:adjustRightInd w:val="0"/>
        <w:snapToGrid w:val="0"/>
        <w:spacing w:line="500" w:lineRule="atLeast"/>
        <w:ind w:firstLine="480"/>
        <w:rPr>
          <w:kern w:val="0"/>
        </w:rPr>
      </w:pPr>
      <w:r>
        <w:rPr>
          <w:rFonts w:hint="eastAsia"/>
          <w:kern w:val="0"/>
        </w:rPr>
        <w:t>（5）中华人民共和国职业病防治法《主席令 第60号》(2002.5.1)</w:t>
      </w:r>
    </w:p>
    <w:p>
      <w:pPr>
        <w:tabs>
          <w:tab w:val="left" w:pos="360"/>
        </w:tabs>
        <w:adjustRightInd w:val="0"/>
        <w:snapToGrid w:val="0"/>
        <w:spacing w:line="500" w:lineRule="atLeast"/>
        <w:ind w:firstLine="480"/>
        <w:rPr>
          <w:kern w:val="0"/>
        </w:rPr>
      </w:pPr>
      <w:r>
        <w:rPr>
          <w:rFonts w:hint="eastAsia"/>
          <w:kern w:val="0"/>
        </w:rPr>
        <w:t>（6）中华人民共和国放射性污染防治法《主席令 第6号》</w:t>
      </w:r>
    </w:p>
    <w:p>
      <w:pPr>
        <w:tabs>
          <w:tab w:val="left" w:pos="360"/>
        </w:tabs>
        <w:adjustRightInd w:val="0"/>
        <w:snapToGrid w:val="0"/>
        <w:spacing w:line="500" w:lineRule="atLeast"/>
        <w:ind w:firstLine="480"/>
        <w:rPr>
          <w:kern w:val="0"/>
        </w:rPr>
      </w:pPr>
      <w:r>
        <w:rPr>
          <w:rFonts w:hint="eastAsia"/>
          <w:kern w:val="0"/>
        </w:rPr>
        <w:t>（7）中华人民共和国消防法《主席令 第4号》(1998.9.1)</w:t>
      </w:r>
    </w:p>
    <w:p>
      <w:pPr>
        <w:tabs>
          <w:tab w:val="left" w:pos="360"/>
        </w:tabs>
        <w:adjustRightInd w:val="0"/>
        <w:snapToGrid w:val="0"/>
        <w:spacing w:line="500" w:lineRule="atLeast"/>
        <w:ind w:firstLine="480"/>
        <w:rPr>
          <w:kern w:val="0"/>
        </w:rPr>
      </w:pPr>
      <w:r>
        <w:rPr>
          <w:rFonts w:hint="eastAsia"/>
          <w:kern w:val="0"/>
        </w:rPr>
        <w:t>（8）中华人民共和国防震减灾法《主席令 第94号》</w:t>
      </w:r>
    </w:p>
    <w:p>
      <w:pPr>
        <w:tabs>
          <w:tab w:val="left" w:pos="360"/>
        </w:tabs>
        <w:adjustRightInd w:val="0"/>
        <w:snapToGrid w:val="0"/>
        <w:spacing w:line="500" w:lineRule="atLeast"/>
        <w:ind w:firstLine="480"/>
        <w:rPr>
          <w:kern w:val="0"/>
        </w:rPr>
      </w:pPr>
      <w:r>
        <w:rPr>
          <w:rFonts w:hint="eastAsia"/>
          <w:kern w:val="0"/>
        </w:rPr>
        <w:t>（9）中华人名共和国水土保持法《主席令 第39号》</w:t>
      </w:r>
    </w:p>
    <w:p>
      <w:pPr>
        <w:tabs>
          <w:tab w:val="left" w:pos="360"/>
        </w:tabs>
        <w:adjustRightInd w:val="0"/>
        <w:snapToGrid w:val="0"/>
        <w:spacing w:line="500" w:lineRule="atLeast"/>
        <w:ind w:firstLine="480"/>
        <w:rPr>
          <w:kern w:val="0"/>
        </w:rPr>
      </w:pPr>
      <w:r>
        <w:rPr>
          <w:rFonts w:hint="eastAsia"/>
          <w:kern w:val="0"/>
        </w:rPr>
        <w:t>（10）建设工程安全生产管理条例《国务院令 第393号》(2004.2.1)</w:t>
      </w:r>
    </w:p>
    <w:p>
      <w:pPr>
        <w:tabs>
          <w:tab w:val="left" w:pos="360"/>
        </w:tabs>
        <w:adjustRightInd w:val="0"/>
        <w:snapToGrid w:val="0"/>
        <w:spacing w:line="500" w:lineRule="atLeast"/>
        <w:ind w:firstLine="480"/>
        <w:rPr>
          <w:kern w:val="0"/>
        </w:rPr>
      </w:pPr>
      <w:r>
        <w:rPr>
          <w:rFonts w:hint="eastAsia"/>
          <w:kern w:val="0"/>
        </w:rPr>
        <w:t>（11）地质灾害防治条例《国务院令 第394号》</w:t>
      </w:r>
    </w:p>
    <w:p>
      <w:pPr>
        <w:tabs>
          <w:tab w:val="left" w:pos="360"/>
        </w:tabs>
        <w:adjustRightInd w:val="0"/>
        <w:snapToGrid w:val="0"/>
        <w:spacing w:line="500" w:lineRule="atLeast"/>
        <w:ind w:firstLine="480"/>
        <w:rPr>
          <w:kern w:val="0"/>
        </w:rPr>
      </w:pPr>
      <w:r>
        <w:rPr>
          <w:rFonts w:hint="eastAsia"/>
          <w:kern w:val="0"/>
        </w:rPr>
        <w:t>（12）建设项目(工程)职业安全卫生监察规定《(96)劳动部令第3号》(1997.1.1)</w:t>
      </w:r>
    </w:p>
    <w:p>
      <w:pPr>
        <w:tabs>
          <w:tab w:val="left" w:pos="360"/>
        </w:tabs>
        <w:adjustRightInd w:val="0"/>
        <w:snapToGrid w:val="0"/>
        <w:spacing w:line="500" w:lineRule="atLeast"/>
        <w:ind w:firstLine="480"/>
        <w:rPr>
          <w:kern w:val="0"/>
        </w:rPr>
      </w:pPr>
      <w:r>
        <w:rPr>
          <w:rFonts w:hint="eastAsia"/>
          <w:kern w:val="0"/>
        </w:rPr>
        <w:t>（13）特种设备安全监察条例《国务院令 第373号》</w:t>
      </w:r>
    </w:p>
    <w:p>
      <w:pPr>
        <w:tabs>
          <w:tab w:val="left" w:pos="360"/>
        </w:tabs>
        <w:adjustRightInd w:val="0"/>
        <w:snapToGrid w:val="0"/>
        <w:spacing w:line="500" w:lineRule="atLeast"/>
        <w:ind w:firstLine="480"/>
        <w:rPr>
          <w:kern w:val="0"/>
        </w:rPr>
      </w:pPr>
      <w:r>
        <w:rPr>
          <w:rFonts w:hint="eastAsia"/>
          <w:kern w:val="0"/>
        </w:rPr>
        <w:t>（14）建设项目(工程)职业安全卫生预评价管理办法《劳动部令第10号》(1998.2.5)</w:t>
      </w:r>
    </w:p>
    <w:p>
      <w:pPr>
        <w:tabs>
          <w:tab w:val="left" w:pos="360"/>
        </w:tabs>
        <w:adjustRightInd w:val="0"/>
        <w:snapToGrid w:val="0"/>
        <w:spacing w:line="500" w:lineRule="atLeast"/>
        <w:ind w:firstLine="480"/>
        <w:rPr>
          <w:kern w:val="0"/>
        </w:rPr>
      </w:pPr>
      <w:r>
        <w:rPr>
          <w:rFonts w:hint="eastAsia"/>
          <w:kern w:val="0"/>
        </w:rPr>
        <w:t>（1</w:t>
      </w:r>
      <w:r>
        <w:rPr>
          <w:kern w:val="0"/>
        </w:rPr>
        <w:t>5</w:t>
      </w:r>
      <w:r>
        <w:rPr>
          <w:rFonts w:hint="eastAsia"/>
          <w:kern w:val="0"/>
        </w:rPr>
        <w:t>）《安全评价机构管理规定》《国家安全生产监督管理局第13号令》(2004.10.20)</w:t>
      </w:r>
    </w:p>
    <w:p>
      <w:pPr>
        <w:tabs>
          <w:tab w:val="left" w:pos="360"/>
        </w:tabs>
        <w:adjustRightInd w:val="0"/>
        <w:snapToGrid w:val="0"/>
        <w:spacing w:line="500" w:lineRule="atLeast"/>
        <w:ind w:firstLine="480"/>
        <w:rPr>
          <w:kern w:val="0"/>
        </w:rPr>
      </w:pPr>
      <w:r>
        <w:rPr>
          <w:rFonts w:hint="eastAsia"/>
          <w:kern w:val="0"/>
        </w:rPr>
        <w:t>（1</w:t>
      </w:r>
      <w:r>
        <w:rPr>
          <w:kern w:val="0"/>
        </w:rPr>
        <w:t>6</w:t>
      </w:r>
      <w:r>
        <w:rPr>
          <w:rFonts w:hint="eastAsia"/>
          <w:kern w:val="0"/>
        </w:rPr>
        <w:t>）关于印发《安全评价通则》的通知《国家安全生产监督管理局安监管技装字［2003］37号》(2003.3.31)</w:t>
      </w:r>
    </w:p>
    <w:p>
      <w:pPr>
        <w:tabs>
          <w:tab w:val="left" w:pos="360"/>
        </w:tabs>
        <w:adjustRightInd w:val="0"/>
        <w:snapToGrid w:val="0"/>
        <w:spacing w:line="500" w:lineRule="atLeast"/>
        <w:ind w:firstLine="480"/>
        <w:rPr>
          <w:kern w:val="0"/>
        </w:rPr>
      </w:pPr>
      <w:r>
        <w:rPr>
          <w:rFonts w:hint="eastAsia"/>
          <w:kern w:val="0"/>
        </w:rPr>
        <w:t>（1</w:t>
      </w:r>
      <w:r>
        <w:rPr>
          <w:kern w:val="0"/>
        </w:rPr>
        <w:t>7</w:t>
      </w:r>
      <w:r>
        <w:rPr>
          <w:rFonts w:hint="eastAsia"/>
          <w:kern w:val="0"/>
        </w:rPr>
        <w:t>）关于印发《安全预评价导则》的通知《国家安全生产监督管理局安监管技装字［2003］77号》(2003.5.21)</w:t>
      </w:r>
    </w:p>
    <w:p>
      <w:pPr>
        <w:tabs>
          <w:tab w:val="left" w:pos="360"/>
        </w:tabs>
        <w:adjustRightInd w:val="0"/>
        <w:snapToGrid w:val="0"/>
        <w:spacing w:line="500" w:lineRule="atLeast"/>
        <w:ind w:firstLine="480"/>
        <w:rPr>
          <w:kern w:val="0"/>
        </w:rPr>
      </w:pPr>
      <w:r>
        <w:rPr>
          <w:rFonts w:hint="eastAsia"/>
          <w:kern w:val="0"/>
        </w:rPr>
        <w:t>（1</w:t>
      </w:r>
      <w:r>
        <w:rPr>
          <w:kern w:val="0"/>
        </w:rPr>
        <w:t>8</w:t>
      </w:r>
      <w:r>
        <w:rPr>
          <w:rFonts w:hint="eastAsia"/>
          <w:kern w:val="0"/>
        </w:rPr>
        <w:t>）“关于开展重大危险源监督管理工作的指导意见”《国家安全生产监督管理局安监管协调字[2004]56号文》</w:t>
      </w:r>
    </w:p>
    <w:p>
      <w:pPr>
        <w:tabs>
          <w:tab w:val="left" w:pos="360"/>
        </w:tabs>
        <w:adjustRightInd w:val="0"/>
        <w:snapToGrid w:val="0"/>
        <w:spacing w:line="500" w:lineRule="atLeast"/>
        <w:ind w:firstLine="480"/>
        <w:rPr>
          <w:kern w:val="0"/>
        </w:rPr>
      </w:pPr>
      <w:r>
        <w:rPr>
          <w:rFonts w:hint="eastAsia"/>
          <w:kern w:val="0"/>
        </w:rPr>
        <w:t>（</w:t>
      </w:r>
      <w:r>
        <w:rPr>
          <w:kern w:val="0"/>
        </w:rPr>
        <w:t>19</w:t>
      </w:r>
      <w:r>
        <w:rPr>
          <w:rFonts w:hint="eastAsia"/>
          <w:kern w:val="0"/>
        </w:rPr>
        <w:t>）《国家发展改革委员会、国家安全生产监督管理局关于加强建设项目安全设施‘三同时’工作的通知》《国家发展改革委员会、国家安全生产监督管理局，发改投资[2003]1346号》(2003.9.30)</w:t>
      </w:r>
    </w:p>
    <w:p>
      <w:pPr>
        <w:tabs>
          <w:tab w:val="left" w:pos="360"/>
        </w:tabs>
        <w:adjustRightInd w:val="0"/>
        <w:snapToGrid w:val="0"/>
        <w:spacing w:line="500" w:lineRule="atLeast"/>
        <w:ind w:firstLine="480"/>
        <w:rPr>
          <w:kern w:val="0"/>
        </w:rPr>
      </w:pPr>
      <w:r>
        <w:rPr>
          <w:rFonts w:hint="eastAsia"/>
          <w:kern w:val="0"/>
        </w:rPr>
        <w:t>（2</w:t>
      </w:r>
      <w:r>
        <w:rPr>
          <w:kern w:val="0"/>
        </w:rPr>
        <w:t>0</w:t>
      </w:r>
      <w:r>
        <w:rPr>
          <w:rFonts w:hint="eastAsia"/>
          <w:kern w:val="0"/>
        </w:rPr>
        <w:t>）《国务院办公厅关于加强中央企业安全生产工作的通知》《国务院办公厅 国办发[2004]52号》(2004.6.24)</w:t>
      </w:r>
    </w:p>
    <w:p>
      <w:pPr>
        <w:pStyle w:val="38"/>
        <w:spacing w:before="156" w:beforeLines="50" w:after="156" w:line="360" w:lineRule="auto"/>
        <w:outlineLvl w:val="3"/>
        <w:rPr>
          <w:rFonts w:ascii="宋体" w:hAnsi="宋体" w:eastAsia="宋体"/>
          <w:b/>
          <w:bCs/>
          <w:sz w:val="24"/>
          <w:szCs w:val="24"/>
        </w:rPr>
      </w:pPr>
      <w:bookmarkStart w:id="6" w:name="_Toc462735447"/>
      <w:r>
        <w:rPr>
          <w:rFonts w:ascii="宋体" w:hAnsi="宋体" w:eastAsia="宋体"/>
          <w:b/>
          <w:bCs/>
          <w:sz w:val="24"/>
          <w:szCs w:val="24"/>
        </w:rPr>
        <w:t xml:space="preserve">11.1.1.2  </w:t>
      </w:r>
      <w:r>
        <w:rPr>
          <w:rFonts w:hint="eastAsia" w:ascii="宋体" w:hAnsi="宋体" w:eastAsia="宋体"/>
          <w:b/>
          <w:bCs/>
          <w:sz w:val="24"/>
          <w:szCs w:val="24"/>
        </w:rPr>
        <w:t>国家标准</w:t>
      </w:r>
      <w:bookmarkEnd w:id="6"/>
    </w:p>
    <w:p>
      <w:pPr>
        <w:snapToGrid w:val="0"/>
        <w:spacing w:line="500" w:lineRule="atLeast"/>
        <w:ind w:firstLine="480"/>
        <w:rPr>
          <w:kern w:val="0"/>
        </w:rPr>
      </w:pPr>
      <w:r>
        <w:rPr>
          <w:rFonts w:hint="eastAsia"/>
          <w:kern w:val="0"/>
        </w:rPr>
        <w:t>（</w:t>
      </w:r>
      <w:r>
        <w:rPr>
          <w:kern w:val="0"/>
        </w:rPr>
        <w:t>1</w:t>
      </w:r>
      <w:r>
        <w:rPr>
          <w:rFonts w:hint="eastAsia"/>
          <w:kern w:val="0"/>
        </w:rPr>
        <w:t>）安全色《</w:t>
      </w:r>
      <w:r>
        <w:rPr>
          <w:kern w:val="0"/>
        </w:rPr>
        <w:t>GB 2893-2001</w:t>
      </w:r>
      <w:r>
        <w:rPr>
          <w:rFonts w:hint="eastAsia"/>
          <w:kern w:val="0"/>
        </w:rPr>
        <w:t>》</w:t>
      </w:r>
    </w:p>
    <w:p>
      <w:pPr>
        <w:snapToGrid w:val="0"/>
        <w:spacing w:line="500" w:lineRule="atLeast"/>
        <w:ind w:firstLine="480"/>
        <w:rPr>
          <w:kern w:val="0"/>
        </w:rPr>
      </w:pPr>
      <w:r>
        <w:rPr>
          <w:rFonts w:hint="eastAsia"/>
          <w:kern w:val="0"/>
        </w:rPr>
        <w:t>（</w:t>
      </w:r>
      <w:r>
        <w:rPr>
          <w:kern w:val="0"/>
        </w:rPr>
        <w:t>2</w:t>
      </w:r>
      <w:r>
        <w:rPr>
          <w:rFonts w:hint="eastAsia"/>
          <w:kern w:val="0"/>
        </w:rPr>
        <w:t>）安全标志《</w:t>
      </w:r>
      <w:r>
        <w:rPr>
          <w:kern w:val="0"/>
        </w:rPr>
        <w:t>GB 2894-1996</w:t>
      </w:r>
      <w:r>
        <w:rPr>
          <w:rFonts w:hint="eastAsia"/>
          <w:kern w:val="0"/>
        </w:rPr>
        <w:t>》</w:t>
      </w:r>
    </w:p>
    <w:p>
      <w:pPr>
        <w:snapToGrid w:val="0"/>
        <w:spacing w:line="500" w:lineRule="atLeast"/>
        <w:ind w:firstLine="480"/>
        <w:rPr>
          <w:kern w:val="0"/>
        </w:rPr>
      </w:pPr>
      <w:r>
        <w:rPr>
          <w:rFonts w:hint="eastAsia"/>
          <w:kern w:val="0"/>
        </w:rPr>
        <w:t>（</w:t>
      </w:r>
      <w:r>
        <w:rPr>
          <w:kern w:val="0"/>
        </w:rPr>
        <w:t>3</w:t>
      </w:r>
      <w:r>
        <w:rPr>
          <w:rFonts w:hint="eastAsia"/>
          <w:kern w:val="0"/>
        </w:rPr>
        <w:t>）生产设备安全卫生设计总则《</w:t>
      </w:r>
      <w:r>
        <w:rPr>
          <w:kern w:val="0"/>
        </w:rPr>
        <w:t>GB 5083-1999</w:t>
      </w:r>
      <w:r>
        <w:rPr>
          <w:rFonts w:hint="eastAsia"/>
          <w:kern w:val="0"/>
        </w:rPr>
        <w:t>》</w:t>
      </w:r>
    </w:p>
    <w:p>
      <w:pPr>
        <w:snapToGrid w:val="0"/>
        <w:spacing w:line="500" w:lineRule="atLeast"/>
        <w:ind w:firstLine="480"/>
        <w:rPr>
          <w:kern w:val="0"/>
        </w:rPr>
      </w:pPr>
      <w:r>
        <w:rPr>
          <w:rFonts w:hint="eastAsia"/>
          <w:kern w:val="0"/>
        </w:rPr>
        <w:t>（</w:t>
      </w:r>
      <w:r>
        <w:rPr>
          <w:kern w:val="0"/>
        </w:rPr>
        <w:t>4</w:t>
      </w:r>
      <w:r>
        <w:rPr>
          <w:rFonts w:hint="eastAsia"/>
          <w:kern w:val="0"/>
        </w:rPr>
        <w:t>）起重机械安全规程《</w:t>
      </w:r>
      <w:r>
        <w:rPr>
          <w:kern w:val="0"/>
        </w:rPr>
        <w:t>GB 6067.1-2010</w:t>
      </w:r>
      <w:r>
        <w:rPr>
          <w:rFonts w:hint="eastAsia"/>
          <w:kern w:val="0"/>
        </w:rPr>
        <w:t>》</w:t>
      </w:r>
    </w:p>
    <w:p>
      <w:pPr>
        <w:snapToGrid w:val="0"/>
        <w:spacing w:line="500" w:lineRule="atLeast"/>
        <w:ind w:firstLine="480"/>
        <w:rPr>
          <w:kern w:val="0"/>
        </w:rPr>
      </w:pPr>
      <w:r>
        <w:rPr>
          <w:rFonts w:hint="eastAsia"/>
          <w:kern w:val="0"/>
        </w:rPr>
        <w:t>（</w:t>
      </w:r>
      <w:r>
        <w:rPr>
          <w:kern w:val="0"/>
        </w:rPr>
        <w:t>5</w:t>
      </w:r>
      <w:r>
        <w:rPr>
          <w:rFonts w:hint="eastAsia"/>
          <w:kern w:val="0"/>
        </w:rPr>
        <w:t>）企业职工伤亡事故分类《</w:t>
      </w:r>
      <w:r>
        <w:rPr>
          <w:kern w:val="0"/>
        </w:rPr>
        <w:t>GB/T 6441-1986</w:t>
      </w:r>
      <w:r>
        <w:rPr>
          <w:rFonts w:hint="eastAsia"/>
          <w:kern w:val="0"/>
        </w:rPr>
        <w:t>》</w:t>
      </w:r>
    </w:p>
    <w:p>
      <w:pPr>
        <w:snapToGrid w:val="0"/>
        <w:spacing w:line="500" w:lineRule="atLeast"/>
        <w:ind w:firstLine="480"/>
        <w:rPr>
          <w:kern w:val="0"/>
        </w:rPr>
      </w:pPr>
      <w:r>
        <w:rPr>
          <w:rFonts w:hint="eastAsia"/>
          <w:kern w:val="0"/>
        </w:rPr>
        <w:t>（</w:t>
      </w:r>
      <w:r>
        <w:rPr>
          <w:kern w:val="0"/>
        </w:rPr>
        <w:t>6</w:t>
      </w:r>
      <w:r>
        <w:rPr>
          <w:rFonts w:hint="eastAsia"/>
          <w:kern w:val="0"/>
        </w:rPr>
        <w:t>）生产过程安全卫生要求总则《</w:t>
      </w:r>
      <w:r>
        <w:rPr>
          <w:kern w:val="0"/>
        </w:rPr>
        <w:t>GB12801-1991</w:t>
      </w:r>
      <w:r>
        <w:rPr>
          <w:rFonts w:hint="eastAsia"/>
          <w:kern w:val="0"/>
        </w:rPr>
        <w:t>》</w:t>
      </w:r>
    </w:p>
    <w:p>
      <w:pPr>
        <w:snapToGrid w:val="0"/>
        <w:spacing w:line="500" w:lineRule="atLeast"/>
        <w:ind w:firstLine="480"/>
        <w:rPr>
          <w:kern w:val="0"/>
        </w:rPr>
      </w:pPr>
      <w:r>
        <w:rPr>
          <w:rFonts w:hint="eastAsia"/>
          <w:kern w:val="0"/>
        </w:rPr>
        <w:t>（</w:t>
      </w:r>
      <w:r>
        <w:rPr>
          <w:kern w:val="0"/>
        </w:rPr>
        <w:t>7</w:t>
      </w:r>
      <w:r>
        <w:rPr>
          <w:rFonts w:hint="eastAsia"/>
          <w:kern w:val="0"/>
        </w:rPr>
        <w:t>）作业场所微波幅射卫生标准《</w:t>
      </w:r>
      <w:r>
        <w:rPr>
          <w:kern w:val="0"/>
        </w:rPr>
        <w:t>GB 10436-1989</w:t>
      </w:r>
      <w:r>
        <w:rPr>
          <w:rFonts w:hint="eastAsia"/>
          <w:kern w:val="0"/>
        </w:rPr>
        <w:t>》</w:t>
      </w:r>
    </w:p>
    <w:p>
      <w:pPr>
        <w:snapToGrid w:val="0"/>
        <w:spacing w:line="500" w:lineRule="atLeast"/>
        <w:ind w:firstLine="480"/>
        <w:rPr>
          <w:kern w:val="0"/>
        </w:rPr>
      </w:pPr>
      <w:r>
        <w:rPr>
          <w:rFonts w:hint="eastAsia"/>
          <w:kern w:val="0"/>
        </w:rPr>
        <w:t>（</w:t>
      </w:r>
      <w:r>
        <w:rPr>
          <w:kern w:val="0"/>
        </w:rPr>
        <w:t>8</w:t>
      </w:r>
      <w:r>
        <w:rPr>
          <w:rFonts w:hint="eastAsia"/>
          <w:kern w:val="0"/>
        </w:rPr>
        <w:t>）防止静电事故通用导则《</w:t>
      </w:r>
      <w:r>
        <w:rPr>
          <w:kern w:val="0"/>
        </w:rPr>
        <w:t>GB 12158-1990</w:t>
      </w:r>
      <w:r>
        <w:rPr>
          <w:rFonts w:hint="eastAsia"/>
          <w:kern w:val="0"/>
        </w:rPr>
        <w:t>》</w:t>
      </w:r>
    </w:p>
    <w:p>
      <w:pPr>
        <w:snapToGrid w:val="0"/>
        <w:spacing w:line="500" w:lineRule="atLeast"/>
        <w:ind w:firstLine="480"/>
        <w:rPr>
          <w:kern w:val="0"/>
        </w:rPr>
      </w:pPr>
      <w:r>
        <w:rPr>
          <w:rFonts w:hint="eastAsia"/>
          <w:kern w:val="0"/>
        </w:rPr>
        <w:t>（</w:t>
      </w:r>
      <w:r>
        <w:rPr>
          <w:kern w:val="0"/>
        </w:rPr>
        <w:t>9</w:t>
      </w:r>
      <w:r>
        <w:rPr>
          <w:rFonts w:hint="eastAsia"/>
          <w:kern w:val="0"/>
        </w:rPr>
        <w:t>）机械安全</w:t>
      </w:r>
      <w:r>
        <w:rPr>
          <w:kern w:val="0"/>
        </w:rPr>
        <w:t xml:space="preserve"> </w:t>
      </w:r>
      <w:r>
        <w:rPr>
          <w:rFonts w:hint="eastAsia"/>
          <w:kern w:val="0"/>
        </w:rPr>
        <w:t>防止下肢触及危险区的安全距离《</w:t>
      </w:r>
      <w:r>
        <w:rPr>
          <w:kern w:val="0"/>
        </w:rPr>
        <w:t>GB12265.2-2000</w:t>
      </w:r>
      <w:r>
        <w:rPr>
          <w:rFonts w:hint="eastAsia"/>
          <w:kern w:val="0"/>
        </w:rPr>
        <w:t>》</w:t>
      </w:r>
    </w:p>
    <w:p>
      <w:pPr>
        <w:snapToGrid w:val="0"/>
        <w:spacing w:line="500" w:lineRule="atLeast"/>
        <w:ind w:firstLine="480"/>
        <w:rPr>
          <w:kern w:val="0"/>
        </w:rPr>
      </w:pPr>
      <w:r>
        <w:rPr>
          <w:rFonts w:hint="eastAsia"/>
          <w:kern w:val="0"/>
        </w:rPr>
        <w:t>（</w:t>
      </w:r>
      <w:r>
        <w:rPr>
          <w:kern w:val="0"/>
        </w:rPr>
        <w:t>10</w:t>
      </w:r>
      <w:r>
        <w:rPr>
          <w:rFonts w:hint="eastAsia"/>
          <w:kern w:val="0"/>
        </w:rPr>
        <w:t>）工业企业厂界环境噪声排放标准《</w:t>
      </w:r>
      <w:r>
        <w:rPr>
          <w:kern w:val="0"/>
        </w:rPr>
        <w:t>GB12348-2008</w:t>
      </w:r>
      <w:r>
        <w:rPr>
          <w:rFonts w:hint="eastAsia"/>
          <w:kern w:val="0"/>
        </w:rPr>
        <w:t>》</w:t>
      </w:r>
    </w:p>
    <w:p>
      <w:pPr>
        <w:snapToGrid w:val="0"/>
        <w:spacing w:line="500" w:lineRule="atLeast"/>
        <w:ind w:firstLine="480"/>
        <w:rPr>
          <w:kern w:val="0"/>
        </w:rPr>
      </w:pPr>
      <w:r>
        <w:rPr>
          <w:rFonts w:hint="eastAsia"/>
          <w:kern w:val="0"/>
        </w:rPr>
        <w:t>（</w:t>
      </w:r>
      <w:r>
        <w:rPr>
          <w:kern w:val="0"/>
        </w:rPr>
        <w:t>11</w:t>
      </w:r>
      <w:r>
        <w:rPr>
          <w:rFonts w:hint="eastAsia"/>
          <w:kern w:val="0"/>
        </w:rPr>
        <w:t>）生产过程危险和有害因素分类与代码《</w:t>
      </w:r>
      <w:r>
        <w:rPr>
          <w:kern w:val="0"/>
        </w:rPr>
        <w:t>GB/T 13861-1992</w:t>
      </w:r>
      <w:r>
        <w:rPr>
          <w:rFonts w:hint="eastAsia"/>
          <w:kern w:val="0"/>
        </w:rPr>
        <w:t>》</w:t>
      </w:r>
    </w:p>
    <w:p>
      <w:pPr>
        <w:snapToGrid w:val="0"/>
        <w:spacing w:line="500" w:lineRule="atLeast"/>
        <w:ind w:firstLine="480"/>
        <w:rPr>
          <w:kern w:val="0"/>
        </w:rPr>
      </w:pPr>
      <w:r>
        <w:rPr>
          <w:rFonts w:hint="eastAsia"/>
          <w:kern w:val="0"/>
        </w:rPr>
        <w:t>（</w:t>
      </w:r>
      <w:r>
        <w:rPr>
          <w:kern w:val="0"/>
        </w:rPr>
        <w:t>12</w:t>
      </w:r>
      <w:r>
        <w:rPr>
          <w:rFonts w:hint="eastAsia"/>
          <w:kern w:val="0"/>
        </w:rPr>
        <w:t>）安全标志使用导则《</w:t>
      </w:r>
      <w:r>
        <w:rPr>
          <w:kern w:val="0"/>
        </w:rPr>
        <w:t>GB 16179-1996</w:t>
      </w:r>
      <w:r>
        <w:rPr>
          <w:rFonts w:hint="eastAsia"/>
          <w:kern w:val="0"/>
        </w:rPr>
        <w:t>》</w:t>
      </w:r>
    </w:p>
    <w:p>
      <w:pPr>
        <w:snapToGrid w:val="0"/>
        <w:spacing w:line="500" w:lineRule="atLeast"/>
        <w:ind w:firstLine="480"/>
        <w:rPr>
          <w:kern w:val="0"/>
        </w:rPr>
      </w:pPr>
      <w:r>
        <w:rPr>
          <w:rFonts w:hint="eastAsia"/>
          <w:kern w:val="0"/>
        </w:rPr>
        <w:t>（</w:t>
      </w:r>
      <w:r>
        <w:rPr>
          <w:kern w:val="0"/>
        </w:rPr>
        <w:t>13</w:t>
      </w:r>
      <w:r>
        <w:rPr>
          <w:rFonts w:hint="eastAsia"/>
          <w:kern w:val="0"/>
        </w:rPr>
        <w:t>）建筑物防雷设计规范</w:t>
      </w:r>
      <w:r>
        <w:rPr>
          <w:kern w:val="0"/>
        </w:rPr>
        <w:t>(2000</w:t>
      </w:r>
      <w:r>
        <w:rPr>
          <w:rFonts w:hint="eastAsia"/>
          <w:kern w:val="0"/>
        </w:rPr>
        <w:t>年局部修订条文</w:t>
      </w:r>
      <w:r>
        <w:rPr>
          <w:kern w:val="0"/>
        </w:rPr>
        <w:t>)</w:t>
      </w:r>
      <w:r>
        <w:rPr>
          <w:rFonts w:hint="eastAsia"/>
          <w:kern w:val="0"/>
        </w:rPr>
        <w:t>《</w:t>
      </w:r>
      <w:r>
        <w:rPr>
          <w:kern w:val="0"/>
        </w:rPr>
        <w:t>GB 50057-1994</w:t>
      </w:r>
      <w:r>
        <w:rPr>
          <w:rFonts w:hint="eastAsia"/>
          <w:kern w:val="0"/>
        </w:rPr>
        <w:t>》</w:t>
      </w:r>
    </w:p>
    <w:p>
      <w:pPr>
        <w:snapToGrid w:val="0"/>
        <w:spacing w:line="500" w:lineRule="atLeast"/>
        <w:ind w:firstLine="480"/>
        <w:rPr>
          <w:kern w:val="0"/>
        </w:rPr>
      </w:pPr>
      <w:r>
        <w:rPr>
          <w:rFonts w:hint="eastAsia"/>
          <w:kern w:val="0"/>
        </w:rPr>
        <w:t>（</w:t>
      </w:r>
      <w:r>
        <w:rPr>
          <w:kern w:val="0"/>
        </w:rPr>
        <w:t>14</w:t>
      </w:r>
      <w:r>
        <w:rPr>
          <w:rFonts w:hint="eastAsia"/>
          <w:kern w:val="0"/>
        </w:rPr>
        <w:t>）爆炸和火灾危险环境电力装置设计规范《</w:t>
      </w:r>
      <w:r>
        <w:rPr>
          <w:kern w:val="0"/>
        </w:rPr>
        <w:t>GB 50058-1992</w:t>
      </w:r>
      <w:r>
        <w:rPr>
          <w:rFonts w:hint="eastAsia"/>
          <w:kern w:val="0"/>
        </w:rPr>
        <w:t>》</w:t>
      </w:r>
    </w:p>
    <w:p>
      <w:pPr>
        <w:snapToGrid w:val="0"/>
        <w:spacing w:line="500" w:lineRule="atLeast"/>
        <w:ind w:firstLine="480"/>
        <w:rPr>
          <w:kern w:val="0"/>
        </w:rPr>
      </w:pPr>
      <w:r>
        <w:rPr>
          <w:rFonts w:hint="eastAsia"/>
          <w:kern w:val="0"/>
        </w:rPr>
        <w:t>（</w:t>
      </w:r>
      <w:r>
        <w:rPr>
          <w:kern w:val="0"/>
        </w:rPr>
        <w:t>15</w:t>
      </w:r>
      <w:r>
        <w:rPr>
          <w:rFonts w:hint="eastAsia"/>
          <w:kern w:val="0"/>
        </w:rPr>
        <w:t>）工业企业设计卫生标准《</w:t>
      </w:r>
      <w:r>
        <w:rPr>
          <w:kern w:val="0"/>
        </w:rPr>
        <w:t>GBZ 1-2002</w:t>
      </w:r>
      <w:r>
        <w:rPr>
          <w:rFonts w:hint="eastAsia"/>
          <w:kern w:val="0"/>
        </w:rPr>
        <w:t>》</w:t>
      </w:r>
    </w:p>
    <w:p>
      <w:pPr>
        <w:snapToGrid w:val="0"/>
        <w:spacing w:line="500" w:lineRule="atLeast"/>
        <w:ind w:firstLine="480"/>
        <w:rPr>
          <w:kern w:val="0"/>
        </w:rPr>
      </w:pPr>
      <w:r>
        <w:rPr>
          <w:rFonts w:hint="eastAsia"/>
          <w:kern w:val="0"/>
        </w:rPr>
        <w:t>（</w:t>
      </w:r>
      <w:r>
        <w:rPr>
          <w:kern w:val="0"/>
        </w:rPr>
        <w:t>16</w:t>
      </w:r>
      <w:r>
        <w:rPr>
          <w:rFonts w:hint="eastAsia"/>
          <w:kern w:val="0"/>
        </w:rPr>
        <w:t>）工作场所有害因素职业接触限值《</w:t>
      </w:r>
      <w:r>
        <w:rPr>
          <w:kern w:val="0"/>
        </w:rPr>
        <w:t>GBZ 2-2002</w:t>
      </w:r>
      <w:r>
        <w:rPr>
          <w:rFonts w:hint="eastAsia"/>
          <w:kern w:val="0"/>
        </w:rPr>
        <w:t>》</w:t>
      </w:r>
    </w:p>
    <w:p>
      <w:pPr>
        <w:snapToGrid w:val="0"/>
        <w:spacing w:line="500" w:lineRule="atLeast"/>
        <w:ind w:firstLine="480"/>
        <w:rPr>
          <w:kern w:val="0"/>
        </w:rPr>
      </w:pPr>
      <w:r>
        <w:rPr>
          <w:rFonts w:hint="eastAsia"/>
          <w:kern w:val="0"/>
        </w:rPr>
        <w:t>（</w:t>
      </w:r>
      <w:r>
        <w:rPr>
          <w:kern w:val="0"/>
        </w:rPr>
        <w:t>17</w:t>
      </w:r>
      <w:r>
        <w:rPr>
          <w:rFonts w:hint="eastAsia"/>
          <w:kern w:val="0"/>
        </w:rPr>
        <w:t>）建筑灭火器配置设计规范《</w:t>
      </w:r>
      <w:r>
        <w:rPr>
          <w:kern w:val="0"/>
        </w:rPr>
        <w:t>GB50140-2005</w:t>
      </w:r>
      <w:r>
        <w:rPr>
          <w:rFonts w:hint="eastAsia"/>
          <w:kern w:val="0"/>
        </w:rPr>
        <w:t>》</w:t>
      </w:r>
    </w:p>
    <w:p>
      <w:pPr>
        <w:snapToGrid w:val="0"/>
        <w:spacing w:line="500" w:lineRule="atLeast"/>
        <w:ind w:firstLine="480"/>
        <w:rPr>
          <w:kern w:val="0"/>
        </w:rPr>
      </w:pPr>
      <w:r>
        <w:rPr>
          <w:rFonts w:hint="eastAsia"/>
          <w:kern w:val="0"/>
        </w:rPr>
        <w:t>（</w:t>
      </w:r>
      <w:r>
        <w:rPr>
          <w:kern w:val="0"/>
        </w:rPr>
        <w:t>18</w:t>
      </w:r>
      <w:r>
        <w:rPr>
          <w:rFonts w:hint="eastAsia"/>
          <w:kern w:val="0"/>
        </w:rPr>
        <w:t>）建筑设计防火规范《</w:t>
      </w:r>
      <w:r>
        <w:rPr>
          <w:kern w:val="0"/>
        </w:rPr>
        <w:t>GB 50016-2006</w:t>
      </w:r>
      <w:r>
        <w:rPr>
          <w:rFonts w:hint="eastAsia"/>
          <w:kern w:val="0"/>
        </w:rPr>
        <w:t>》</w:t>
      </w:r>
    </w:p>
    <w:p>
      <w:pPr>
        <w:snapToGrid w:val="0"/>
        <w:spacing w:line="500" w:lineRule="atLeast"/>
        <w:ind w:firstLine="480"/>
        <w:rPr>
          <w:kern w:val="0"/>
        </w:rPr>
      </w:pPr>
      <w:r>
        <w:rPr>
          <w:rFonts w:hint="eastAsia"/>
          <w:kern w:val="0"/>
        </w:rPr>
        <w:t>（</w:t>
      </w:r>
      <w:r>
        <w:rPr>
          <w:kern w:val="0"/>
        </w:rPr>
        <w:t>19</w:t>
      </w:r>
      <w:r>
        <w:rPr>
          <w:rFonts w:hint="eastAsia"/>
          <w:kern w:val="0"/>
        </w:rPr>
        <w:t>）作业场所工频电场卫生标准《</w:t>
      </w:r>
      <w:r>
        <w:rPr>
          <w:kern w:val="0"/>
        </w:rPr>
        <w:t>GB 10603-1996</w:t>
      </w:r>
      <w:r>
        <w:rPr>
          <w:rFonts w:hint="eastAsia"/>
          <w:kern w:val="0"/>
        </w:rPr>
        <w:t>》</w:t>
      </w:r>
    </w:p>
    <w:p>
      <w:pPr>
        <w:snapToGrid w:val="0"/>
        <w:spacing w:line="500" w:lineRule="atLeast"/>
        <w:ind w:firstLine="480"/>
        <w:rPr>
          <w:kern w:val="0"/>
        </w:rPr>
      </w:pPr>
      <w:r>
        <w:rPr>
          <w:rFonts w:hint="eastAsia"/>
          <w:kern w:val="0"/>
        </w:rPr>
        <w:t>（</w:t>
      </w:r>
      <w:r>
        <w:rPr>
          <w:kern w:val="0"/>
        </w:rPr>
        <w:t>20</w:t>
      </w:r>
      <w:r>
        <w:rPr>
          <w:rFonts w:hint="eastAsia"/>
          <w:kern w:val="0"/>
        </w:rPr>
        <w:t>）环境电磁波卫生标准《</w:t>
      </w:r>
      <w:r>
        <w:rPr>
          <w:kern w:val="0"/>
        </w:rPr>
        <w:t>GB 9175-88</w:t>
      </w:r>
      <w:r>
        <w:rPr>
          <w:rFonts w:hint="eastAsia"/>
          <w:kern w:val="0"/>
        </w:rPr>
        <w:t>》</w:t>
      </w:r>
    </w:p>
    <w:p>
      <w:pPr>
        <w:snapToGrid w:val="0"/>
        <w:spacing w:line="500" w:lineRule="atLeast"/>
        <w:ind w:firstLine="480"/>
        <w:rPr>
          <w:kern w:val="0"/>
        </w:rPr>
      </w:pPr>
      <w:r>
        <w:rPr>
          <w:rFonts w:hint="eastAsia"/>
          <w:kern w:val="0"/>
        </w:rPr>
        <w:t>（</w:t>
      </w:r>
      <w:r>
        <w:rPr>
          <w:kern w:val="0"/>
        </w:rPr>
        <w:t>21</w:t>
      </w:r>
      <w:r>
        <w:rPr>
          <w:rFonts w:hint="eastAsia"/>
          <w:kern w:val="0"/>
        </w:rPr>
        <w:t>）机械防护安全距离《</w:t>
      </w:r>
      <w:r>
        <w:rPr>
          <w:kern w:val="0"/>
        </w:rPr>
        <w:t>GB 12295-90</w:t>
      </w:r>
      <w:r>
        <w:rPr>
          <w:rFonts w:hint="eastAsia"/>
          <w:kern w:val="0"/>
        </w:rPr>
        <w:t>》</w:t>
      </w:r>
    </w:p>
    <w:p>
      <w:pPr>
        <w:snapToGrid w:val="0"/>
        <w:spacing w:line="500" w:lineRule="atLeast"/>
        <w:ind w:firstLine="480"/>
        <w:rPr>
          <w:kern w:val="0"/>
        </w:rPr>
      </w:pPr>
      <w:r>
        <w:rPr>
          <w:rFonts w:hint="eastAsia"/>
          <w:kern w:val="0"/>
        </w:rPr>
        <w:t>（</w:t>
      </w:r>
      <w:r>
        <w:rPr>
          <w:kern w:val="0"/>
        </w:rPr>
        <w:t>22</w:t>
      </w:r>
      <w:r>
        <w:rPr>
          <w:rFonts w:hint="eastAsia"/>
          <w:kern w:val="0"/>
        </w:rPr>
        <w:t>）噪声作业分级《</w:t>
      </w:r>
      <w:r>
        <w:rPr>
          <w:kern w:val="0"/>
        </w:rPr>
        <w:t>LD 80-1995</w:t>
      </w:r>
      <w:r>
        <w:rPr>
          <w:rFonts w:hint="eastAsia"/>
          <w:kern w:val="0"/>
        </w:rPr>
        <w:t>》</w:t>
      </w:r>
    </w:p>
    <w:p>
      <w:pPr>
        <w:snapToGrid w:val="0"/>
        <w:spacing w:line="500" w:lineRule="atLeast"/>
        <w:ind w:firstLine="480"/>
        <w:rPr>
          <w:kern w:val="0"/>
        </w:rPr>
      </w:pPr>
      <w:r>
        <w:rPr>
          <w:rFonts w:hint="eastAsia"/>
          <w:kern w:val="0"/>
        </w:rPr>
        <w:t>（</w:t>
      </w:r>
      <w:r>
        <w:rPr>
          <w:kern w:val="0"/>
        </w:rPr>
        <w:t>23</w:t>
      </w:r>
      <w:r>
        <w:rPr>
          <w:rFonts w:hint="eastAsia"/>
          <w:kern w:val="0"/>
        </w:rPr>
        <w:t>）工业企业噪声控制设计规范《</w:t>
      </w:r>
      <w:r>
        <w:rPr>
          <w:kern w:val="0"/>
        </w:rPr>
        <w:t>GB/T 50087-2013</w:t>
      </w:r>
      <w:r>
        <w:rPr>
          <w:rFonts w:hint="eastAsia"/>
          <w:kern w:val="0"/>
        </w:rPr>
        <w:t>》</w:t>
      </w:r>
    </w:p>
    <w:p>
      <w:pPr>
        <w:snapToGrid w:val="0"/>
        <w:spacing w:line="500" w:lineRule="atLeast"/>
        <w:ind w:firstLine="480"/>
        <w:rPr>
          <w:kern w:val="0"/>
        </w:rPr>
      </w:pPr>
      <w:r>
        <w:rPr>
          <w:rFonts w:hint="eastAsia"/>
          <w:kern w:val="0"/>
        </w:rPr>
        <w:t>（</w:t>
      </w:r>
      <w:r>
        <w:rPr>
          <w:kern w:val="0"/>
        </w:rPr>
        <w:t>24</w:t>
      </w:r>
      <w:r>
        <w:rPr>
          <w:rFonts w:hint="eastAsia"/>
          <w:kern w:val="0"/>
        </w:rPr>
        <w:t>）建筑照明设计标准《</w:t>
      </w:r>
      <w:r>
        <w:rPr>
          <w:kern w:val="0"/>
        </w:rPr>
        <w:t>GB 50034-2004</w:t>
      </w:r>
      <w:r>
        <w:rPr>
          <w:rFonts w:hint="eastAsia"/>
          <w:kern w:val="0"/>
        </w:rPr>
        <w:t>》</w:t>
      </w:r>
    </w:p>
    <w:p>
      <w:pPr>
        <w:pStyle w:val="38"/>
        <w:spacing w:before="156" w:beforeLines="50" w:after="156" w:line="360" w:lineRule="auto"/>
        <w:outlineLvl w:val="3"/>
        <w:rPr>
          <w:rFonts w:ascii="宋体" w:hAnsi="宋体" w:eastAsia="宋体"/>
          <w:b/>
          <w:bCs/>
          <w:sz w:val="24"/>
          <w:szCs w:val="24"/>
        </w:rPr>
      </w:pPr>
      <w:bookmarkStart w:id="7" w:name="_Toc462735448"/>
      <w:r>
        <w:rPr>
          <w:rFonts w:ascii="宋体" w:hAnsi="宋体" w:eastAsia="宋体"/>
          <w:b/>
          <w:bCs/>
          <w:sz w:val="24"/>
          <w:szCs w:val="24"/>
        </w:rPr>
        <w:t xml:space="preserve">11.1.1.3  </w:t>
      </w:r>
      <w:r>
        <w:rPr>
          <w:rFonts w:hint="eastAsia" w:ascii="宋体" w:hAnsi="宋体" w:eastAsia="宋体"/>
          <w:b/>
          <w:bCs/>
          <w:sz w:val="24"/>
          <w:szCs w:val="24"/>
        </w:rPr>
        <w:t>水电水利行业主要技术标准</w:t>
      </w:r>
      <w:bookmarkEnd w:id="7"/>
    </w:p>
    <w:p>
      <w:pPr>
        <w:snapToGrid w:val="0"/>
        <w:spacing w:line="500" w:lineRule="atLeast"/>
        <w:ind w:firstLine="480"/>
        <w:rPr>
          <w:kern w:val="0"/>
        </w:rPr>
      </w:pPr>
      <w:r>
        <w:rPr>
          <w:rFonts w:hint="eastAsia"/>
          <w:kern w:val="0"/>
        </w:rPr>
        <w:t>（1）水利水电工程初步设计报告编制规程《SL 619-2013》</w:t>
      </w:r>
    </w:p>
    <w:p>
      <w:pPr>
        <w:snapToGrid w:val="0"/>
        <w:spacing w:line="500" w:lineRule="atLeast"/>
        <w:ind w:firstLine="480"/>
        <w:rPr>
          <w:kern w:val="0"/>
        </w:rPr>
      </w:pPr>
      <w:r>
        <w:rPr>
          <w:rFonts w:hint="eastAsia"/>
          <w:kern w:val="0"/>
        </w:rPr>
        <w:t>（2）工程建设标准强制性条文(水利工程部分)《2010年版》</w:t>
      </w:r>
    </w:p>
    <w:p>
      <w:pPr>
        <w:snapToGrid w:val="0"/>
        <w:spacing w:line="500" w:lineRule="atLeast"/>
        <w:ind w:firstLine="480"/>
        <w:rPr>
          <w:kern w:val="0"/>
        </w:rPr>
      </w:pPr>
      <w:r>
        <w:rPr>
          <w:rFonts w:hint="eastAsia"/>
          <w:kern w:val="0"/>
        </w:rPr>
        <w:t>（3）水电枢纽工程等级划分及设计安全标准《DL 5180-2003》</w:t>
      </w:r>
    </w:p>
    <w:p>
      <w:pPr>
        <w:snapToGrid w:val="0"/>
        <w:spacing w:line="500" w:lineRule="atLeast"/>
        <w:ind w:firstLine="480"/>
        <w:rPr>
          <w:kern w:val="0"/>
        </w:rPr>
      </w:pPr>
      <w:r>
        <w:rPr>
          <w:rFonts w:hint="eastAsia"/>
          <w:kern w:val="0"/>
        </w:rPr>
        <w:t>（4）《水利水电工程劳动安全与工业卫生设计规范》《GB 50706-2011》</w:t>
      </w:r>
    </w:p>
    <w:p>
      <w:pPr>
        <w:snapToGrid w:val="0"/>
        <w:spacing w:line="500" w:lineRule="atLeast"/>
        <w:ind w:firstLine="480"/>
        <w:rPr>
          <w:kern w:val="0"/>
        </w:rPr>
      </w:pPr>
      <w:r>
        <w:rPr>
          <w:rFonts w:hint="eastAsia"/>
          <w:kern w:val="0"/>
        </w:rPr>
        <w:t>（5）水利水电工程设计防火规范《SDJ 278-90》</w:t>
      </w:r>
    </w:p>
    <w:p>
      <w:pPr>
        <w:snapToGrid w:val="0"/>
        <w:spacing w:line="500" w:lineRule="atLeast"/>
        <w:ind w:firstLine="480"/>
        <w:rPr>
          <w:kern w:val="0"/>
        </w:rPr>
      </w:pPr>
      <w:r>
        <w:rPr>
          <w:rFonts w:hint="eastAsia"/>
          <w:kern w:val="0"/>
        </w:rPr>
        <w:t>（</w:t>
      </w:r>
      <w:r>
        <w:rPr>
          <w:kern w:val="0"/>
        </w:rPr>
        <w:t>6</w:t>
      </w:r>
      <w:r>
        <w:rPr>
          <w:rFonts w:hint="eastAsia"/>
          <w:kern w:val="0"/>
        </w:rPr>
        <w:t>）水利水电工程启闭机制造安装及验收规程《DL/T 5019-2004》</w:t>
      </w:r>
    </w:p>
    <w:p>
      <w:pPr>
        <w:snapToGrid w:val="0"/>
        <w:spacing w:line="500" w:lineRule="atLeast"/>
        <w:ind w:firstLine="480"/>
        <w:rPr>
          <w:kern w:val="0"/>
        </w:rPr>
      </w:pPr>
      <w:r>
        <w:rPr>
          <w:rFonts w:hint="eastAsia"/>
          <w:kern w:val="0"/>
        </w:rPr>
        <w:t>（</w:t>
      </w:r>
      <w:r>
        <w:rPr>
          <w:kern w:val="0"/>
        </w:rPr>
        <w:t>7</w:t>
      </w:r>
      <w:r>
        <w:rPr>
          <w:rFonts w:hint="eastAsia"/>
          <w:kern w:val="0"/>
        </w:rPr>
        <w:t>）水力水电工程接地设计规范《SL587-2012》</w:t>
      </w:r>
    </w:p>
    <w:p>
      <w:pPr>
        <w:snapToGrid w:val="0"/>
        <w:spacing w:line="500" w:lineRule="atLeast"/>
        <w:ind w:firstLine="480"/>
        <w:rPr>
          <w:kern w:val="0"/>
        </w:rPr>
      </w:pPr>
      <w:r>
        <w:rPr>
          <w:rFonts w:hint="eastAsia"/>
          <w:kern w:val="0"/>
        </w:rPr>
        <w:t>（</w:t>
      </w:r>
      <w:r>
        <w:rPr>
          <w:kern w:val="0"/>
        </w:rPr>
        <w:t>8</w:t>
      </w:r>
      <w:r>
        <w:rPr>
          <w:rFonts w:hint="eastAsia"/>
          <w:kern w:val="0"/>
        </w:rPr>
        <w:t>）通信设备安装抗震设计规范《YD 5059-98》</w:t>
      </w:r>
    </w:p>
    <w:p>
      <w:pPr>
        <w:snapToGrid w:val="0"/>
        <w:spacing w:line="500" w:lineRule="atLeast"/>
        <w:ind w:firstLine="480"/>
        <w:rPr>
          <w:kern w:val="0"/>
        </w:rPr>
      </w:pPr>
      <w:r>
        <w:rPr>
          <w:rFonts w:hint="eastAsia"/>
          <w:kern w:val="0"/>
        </w:rPr>
        <w:t>（</w:t>
      </w:r>
      <w:r>
        <w:rPr>
          <w:kern w:val="0"/>
        </w:rPr>
        <w:t>9</w:t>
      </w:r>
      <w:r>
        <w:rPr>
          <w:rFonts w:hint="eastAsia"/>
          <w:kern w:val="0"/>
        </w:rPr>
        <w:t>）水利水电工程启闭机设计规范《DL/T 5167-2002》</w:t>
      </w:r>
    </w:p>
    <w:p>
      <w:pPr>
        <w:snapToGrid w:val="0"/>
        <w:spacing w:line="500" w:lineRule="atLeast"/>
        <w:ind w:firstLine="480"/>
        <w:rPr>
          <w:kern w:val="0"/>
        </w:rPr>
      </w:pPr>
      <w:r>
        <w:rPr>
          <w:rFonts w:hint="eastAsia"/>
          <w:kern w:val="0"/>
        </w:rPr>
        <w:t>（</w:t>
      </w:r>
      <w:r>
        <w:rPr>
          <w:kern w:val="0"/>
        </w:rPr>
        <w:t>10</w:t>
      </w:r>
      <w:r>
        <w:rPr>
          <w:rFonts w:hint="eastAsia"/>
          <w:kern w:val="0"/>
        </w:rPr>
        <w:t>）水电站基本建设工程验收规程《DL/T 5123-2000》</w:t>
      </w:r>
    </w:p>
    <w:p>
      <w:pPr>
        <w:snapToGrid w:val="0"/>
        <w:spacing w:line="500" w:lineRule="atLeast"/>
        <w:ind w:firstLine="480"/>
        <w:rPr>
          <w:kern w:val="0"/>
        </w:rPr>
      </w:pPr>
      <w:r>
        <w:rPr>
          <w:rFonts w:hint="eastAsia"/>
          <w:kern w:val="0"/>
        </w:rPr>
        <w:t>（1</w:t>
      </w:r>
      <w:r>
        <w:rPr>
          <w:kern w:val="0"/>
        </w:rPr>
        <w:t>1</w:t>
      </w:r>
      <w:r>
        <w:rPr>
          <w:rFonts w:hint="eastAsia"/>
          <w:kern w:val="0"/>
        </w:rPr>
        <w:t>）水工混凝土施工规范《DL/T 5144-2001》</w:t>
      </w:r>
    </w:p>
    <w:p>
      <w:pPr>
        <w:snapToGrid w:val="0"/>
        <w:spacing w:line="500" w:lineRule="atLeast"/>
        <w:ind w:firstLine="480"/>
        <w:rPr>
          <w:kern w:val="0"/>
        </w:rPr>
      </w:pPr>
      <w:r>
        <w:rPr>
          <w:rFonts w:hint="eastAsia"/>
          <w:kern w:val="0"/>
        </w:rPr>
        <w:t>（</w:t>
      </w:r>
      <w:r>
        <w:rPr>
          <w:kern w:val="0"/>
        </w:rPr>
        <w:t>12</w:t>
      </w:r>
      <w:r>
        <w:rPr>
          <w:rFonts w:hint="eastAsia"/>
          <w:kern w:val="0"/>
        </w:rPr>
        <w:t>）水工混凝土结构设计规范《SL 191-2008》</w:t>
      </w:r>
    </w:p>
    <w:p>
      <w:pPr>
        <w:pStyle w:val="6"/>
        <w:spacing w:before="156" w:beforeLines="50" w:after="156" w:afterLines="50"/>
      </w:pPr>
      <w:bookmarkStart w:id="8" w:name="bookmark3220"/>
      <w:bookmarkStart w:id="9" w:name="bookmark3218"/>
      <w:bookmarkStart w:id="10" w:name="_Toc12580"/>
      <w:bookmarkStart w:id="11" w:name="bookmark3219"/>
      <w:r>
        <w:rPr>
          <w:rFonts w:hint="eastAsia"/>
        </w:rPr>
        <w:t>1</w:t>
      </w:r>
      <w:r>
        <w:t>1</w:t>
      </w:r>
      <w:r>
        <w:rPr>
          <w:rFonts w:hint="eastAsia"/>
        </w:rPr>
        <w:t>.1.</w:t>
      </w:r>
      <w:r>
        <w:t>2</w:t>
      </w:r>
      <w:r>
        <w:rPr>
          <w:rFonts w:hint="eastAsia"/>
        </w:rPr>
        <w:t xml:space="preserve">  工程概况</w:t>
      </w:r>
    </w:p>
    <w:p>
      <w:pPr>
        <w:spacing w:line="360" w:lineRule="auto"/>
        <w:ind w:firstLine="480"/>
      </w:pPr>
      <w:r>
        <w:t xml:space="preserve"> </w:t>
      </w:r>
      <w:bookmarkStart w:id="12" w:name="_Toc462735450"/>
      <w:r>
        <w:t>洋坑水库是一宗以灌溉为主，结合防洪、发电及水库养殖的水利工程，灌溉下游农田面积5100亩，捍卫下游耕地7200亩，人口6.2万人。洋坑水库工程枢纽建筑物包括土坝、溢洪道、输水涵管等。土坝为均质土坝，坝顶长度168m，最大坝高33.5m</w:t>
      </w:r>
      <w:r>
        <w:rPr>
          <w:rFonts w:hint="eastAsia"/>
        </w:rPr>
        <w:t>；</w:t>
      </w:r>
      <w:r>
        <w:t>溢洪道位于土坝右坝端，为开敞式无闸控制宽顶堰型</w:t>
      </w:r>
      <w:r>
        <w:rPr>
          <w:rFonts w:hint="eastAsia"/>
        </w:rPr>
        <w:t>，</w:t>
      </w:r>
      <w:r>
        <w:t>顶高程223.80m，为浆砌石结构面层批砼砂浆护面</w:t>
      </w:r>
      <w:r>
        <w:rPr>
          <w:rFonts w:hint="eastAsia"/>
        </w:rPr>
        <w:t>；</w:t>
      </w:r>
      <w:r>
        <w:t>输水涵管位于坝体左侧坝端，为钢筋砼结构圆涵内套钢管，管径0.62m，设螺杆式斜拉铸铁闸门控制，配手动15T螺杆式启闭机，启闭机机室设于坝顶</w:t>
      </w:r>
      <w:r>
        <w:rPr>
          <w:rFonts w:hint="eastAsia"/>
        </w:rPr>
        <w:t>。</w:t>
      </w:r>
      <w:r>
        <w:t>11.1.3  危险和有害因素</w:t>
      </w:r>
      <w:bookmarkEnd w:id="12"/>
    </w:p>
    <w:p>
      <w:pPr>
        <w:pStyle w:val="38"/>
        <w:spacing w:before="156" w:beforeLines="50" w:after="156" w:line="360" w:lineRule="auto"/>
        <w:outlineLvl w:val="3"/>
        <w:rPr>
          <w:rFonts w:ascii="宋体" w:hAnsi="宋体" w:eastAsia="宋体"/>
          <w:b/>
          <w:bCs/>
          <w:sz w:val="24"/>
          <w:szCs w:val="24"/>
        </w:rPr>
      </w:pPr>
      <w:r>
        <w:rPr>
          <w:rFonts w:hint="eastAsia" w:ascii="宋体" w:hAnsi="宋体" w:eastAsia="宋体"/>
          <w:b/>
          <w:bCs/>
          <w:sz w:val="24"/>
          <w:szCs w:val="24"/>
        </w:rPr>
        <w:t>1</w:t>
      </w:r>
      <w:r>
        <w:rPr>
          <w:rFonts w:ascii="宋体" w:hAnsi="宋体" w:eastAsia="宋体"/>
          <w:b/>
          <w:bCs/>
          <w:sz w:val="24"/>
          <w:szCs w:val="24"/>
        </w:rPr>
        <w:t>1</w:t>
      </w:r>
      <w:r>
        <w:rPr>
          <w:rFonts w:hint="eastAsia" w:ascii="宋体" w:hAnsi="宋体" w:eastAsia="宋体"/>
          <w:b/>
          <w:bCs/>
          <w:sz w:val="24"/>
          <w:szCs w:val="24"/>
        </w:rPr>
        <w:t>.1.</w:t>
      </w:r>
      <w:r>
        <w:rPr>
          <w:rFonts w:ascii="宋体" w:hAnsi="宋体" w:eastAsia="宋体"/>
          <w:b/>
          <w:bCs/>
          <w:sz w:val="24"/>
          <w:szCs w:val="24"/>
        </w:rPr>
        <w:t>3</w:t>
      </w:r>
      <w:r>
        <w:rPr>
          <w:rFonts w:hint="eastAsia" w:ascii="宋体" w:hAnsi="宋体" w:eastAsia="宋体"/>
          <w:b/>
          <w:bCs/>
          <w:sz w:val="24"/>
          <w:szCs w:val="24"/>
        </w:rPr>
        <w:t>.1  工程建设期主要危险和有害因素</w:t>
      </w:r>
    </w:p>
    <w:p>
      <w:pPr>
        <w:spacing w:line="360" w:lineRule="auto"/>
        <w:ind w:firstLine="480"/>
      </w:pPr>
      <w:r>
        <w:rPr>
          <w:rFonts w:hint="eastAsia"/>
        </w:rPr>
        <w:t>（1）</w:t>
      </w:r>
      <w:r>
        <w:t>工程施工产生的污废水、废弃物较多；施工产生的噪声和扬尘将对施工区及周边环境产生一定的影响。</w:t>
      </w:r>
    </w:p>
    <w:p>
      <w:pPr>
        <w:spacing w:line="360" w:lineRule="auto"/>
        <w:ind w:firstLine="480"/>
      </w:pPr>
      <w:r>
        <w:rPr>
          <w:rFonts w:hint="eastAsia"/>
        </w:rPr>
        <w:t>（2）</w:t>
      </w:r>
      <w:r>
        <w:t>工程建设期的工程</w:t>
      </w:r>
      <w:r>
        <w:rPr>
          <w:rFonts w:hint="eastAsia"/>
        </w:rPr>
        <w:t>用地、</w:t>
      </w:r>
      <w:r>
        <w:t>弃渣堆放等将破坏原有植被，造成新增水土流失，直接影响工程区域的生态环境。</w:t>
      </w:r>
    </w:p>
    <w:p>
      <w:pPr>
        <w:spacing w:line="360" w:lineRule="auto"/>
        <w:ind w:firstLine="480"/>
      </w:pPr>
      <w:r>
        <w:rPr>
          <w:rFonts w:hint="eastAsia"/>
        </w:rPr>
        <w:t>（3）</w:t>
      </w:r>
      <w:r>
        <w:t>施工期施工环境较差，人群集中的地方，有可能造成痢疾、病毒性肝炎等传染病的传播，对施工人员的健康造成短期影响。</w:t>
      </w:r>
    </w:p>
    <w:p>
      <w:pPr>
        <w:spacing w:line="360" w:lineRule="auto"/>
        <w:ind w:firstLine="480"/>
      </w:pPr>
      <w:r>
        <w:rPr>
          <w:rFonts w:hint="eastAsia"/>
        </w:rPr>
        <w:t>（4）</w:t>
      </w:r>
      <w:r>
        <w:t>夏季台风季节，对施工安全造成一定影响</w:t>
      </w:r>
      <w:r>
        <w:rPr>
          <w:rFonts w:hint="eastAsia"/>
        </w:rPr>
        <w:t>；暴雨、洪水的出现，可能导致水库垮坝危害。</w:t>
      </w:r>
    </w:p>
    <w:p>
      <w:pPr>
        <w:spacing w:line="360" w:lineRule="auto"/>
        <w:ind w:firstLine="480"/>
      </w:pPr>
      <w:r>
        <w:rPr>
          <w:rFonts w:hint="eastAsia"/>
        </w:rPr>
        <w:t>（5）水库岸坡、开挖边坡局部失稳；土方开挖、运输过程中施工机械密集，车辆来往密度高，容易出现安全事故；浆砌石挡墙施工中块石滚落、砌体坍塌可能危及施工人员安全。</w:t>
      </w:r>
    </w:p>
    <w:p>
      <w:pPr>
        <w:spacing w:line="360" w:lineRule="auto"/>
        <w:ind w:firstLine="480"/>
      </w:pPr>
      <w:r>
        <w:rPr>
          <w:rFonts w:hint="eastAsia"/>
        </w:rPr>
        <w:t>（</w:t>
      </w:r>
      <w:r>
        <w:t>6</w:t>
      </w:r>
      <w:r>
        <w:rPr>
          <w:rFonts w:hint="eastAsia"/>
        </w:rPr>
        <w:t>）由于工作人员的错误行为，如吸烟不慎、未加管理的明火（电焊、喷灯等）、携带易燃易爆物品、使用电热和其他电气设备未及时切断电源等引起火灾危害。</w:t>
      </w:r>
    </w:p>
    <w:p>
      <w:pPr>
        <w:spacing w:line="360" w:lineRule="auto"/>
        <w:ind w:firstLine="480"/>
      </w:pPr>
      <w:r>
        <w:rPr>
          <w:rFonts w:hint="eastAsia"/>
        </w:rPr>
        <w:t>（</w:t>
      </w:r>
      <w:r>
        <w:t>7</w:t>
      </w:r>
      <w:r>
        <w:rPr>
          <w:rFonts w:hint="eastAsia"/>
        </w:rPr>
        <w:t>）使用的建筑材料和构件的燃烧性能和耐火极限不符合要求，因设备的辐射热引起火灾风险，如灯具热量引起木质材料燃烧等。</w:t>
      </w:r>
    </w:p>
    <w:p>
      <w:pPr>
        <w:pStyle w:val="38"/>
        <w:spacing w:before="156" w:beforeLines="50" w:after="156" w:line="360" w:lineRule="auto"/>
        <w:outlineLvl w:val="3"/>
        <w:rPr>
          <w:rFonts w:ascii="宋体" w:hAnsi="宋体" w:eastAsia="宋体"/>
          <w:b/>
          <w:bCs/>
          <w:sz w:val="24"/>
          <w:szCs w:val="24"/>
        </w:rPr>
      </w:pPr>
      <w:r>
        <w:rPr>
          <w:rFonts w:hint="eastAsia" w:ascii="宋体" w:hAnsi="宋体" w:eastAsia="宋体"/>
          <w:b/>
          <w:bCs/>
          <w:sz w:val="24"/>
          <w:szCs w:val="24"/>
        </w:rPr>
        <w:t>1</w:t>
      </w:r>
      <w:r>
        <w:rPr>
          <w:rFonts w:ascii="宋体" w:hAnsi="宋体" w:eastAsia="宋体"/>
          <w:b/>
          <w:bCs/>
          <w:sz w:val="24"/>
          <w:szCs w:val="24"/>
        </w:rPr>
        <w:t>1</w:t>
      </w:r>
      <w:r>
        <w:rPr>
          <w:rFonts w:hint="eastAsia" w:ascii="宋体" w:hAnsi="宋体" w:eastAsia="宋体"/>
          <w:b/>
          <w:bCs/>
          <w:sz w:val="24"/>
          <w:szCs w:val="24"/>
        </w:rPr>
        <w:t>.1.</w:t>
      </w:r>
      <w:r>
        <w:rPr>
          <w:rFonts w:ascii="宋体" w:hAnsi="宋体" w:eastAsia="宋体"/>
          <w:b/>
          <w:bCs/>
          <w:sz w:val="24"/>
          <w:szCs w:val="24"/>
        </w:rPr>
        <w:t>3</w:t>
      </w:r>
      <w:r>
        <w:rPr>
          <w:rFonts w:hint="eastAsia" w:ascii="宋体" w:hAnsi="宋体" w:eastAsia="宋体"/>
          <w:b/>
          <w:bCs/>
          <w:sz w:val="24"/>
          <w:szCs w:val="24"/>
        </w:rPr>
        <w:t>.</w:t>
      </w:r>
      <w:r>
        <w:rPr>
          <w:rFonts w:ascii="宋体" w:hAnsi="宋体" w:eastAsia="宋体"/>
          <w:b/>
          <w:bCs/>
          <w:sz w:val="24"/>
          <w:szCs w:val="24"/>
        </w:rPr>
        <w:t>2</w:t>
      </w:r>
      <w:r>
        <w:rPr>
          <w:rFonts w:hint="eastAsia" w:ascii="宋体" w:hAnsi="宋体" w:eastAsia="宋体"/>
          <w:b/>
          <w:bCs/>
          <w:sz w:val="24"/>
          <w:szCs w:val="24"/>
        </w:rPr>
        <w:t xml:space="preserve">  运行期主要危险和有害因素</w:t>
      </w:r>
    </w:p>
    <w:p>
      <w:pPr>
        <w:spacing w:line="360" w:lineRule="auto"/>
        <w:ind w:firstLine="480"/>
        <w:rPr>
          <w:snapToGrid w:val="0"/>
        </w:rPr>
      </w:pPr>
      <w:r>
        <w:rPr>
          <w:rFonts w:hint="eastAsia"/>
          <w:snapToGrid w:val="0"/>
        </w:rPr>
        <w:t>（1）放水涵闸门启闭</w:t>
      </w:r>
      <w:r>
        <w:t>机旋转部位</w:t>
      </w:r>
      <w:r>
        <w:rPr>
          <w:rFonts w:hint="eastAsia"/>
        </w:rPr>
        <w:t>如没有</w:t>
      </w:r>
      <w:r>
        <w:t>保护措施，</w:t>
      </w:r>
      <w:r>
        <w:rPr>
          <w:rFonts w:hint="eastAsia"/>
        </w:rPr>
        <w:t>并</w:t>
      </w:r>
      <w:r>
        <w:t>采用警示色，</w:t>
      </w:r>
      <w:r>
        <w:rPr>
          <w:rFonts w:hint="eastAsia"/>
        </w:rPr>
        <w:t>加上</w:t>
      </w:r>
      <w:r>
        <w:rPr>
          <w:rFonts w:hint="eastAsia"/>
          <w:snapToGrid w:val="0"/>
        </w:rPr>
        <w:t>操作人员作业方法不慎可能造成机械伤害。</w:t>
      </w:r>
    </w:p>
    <w:p>
      <w:pPr>
        <w:pStyle w:val="11"/>
        <w:snapToGrid w:val="0"/>
        <w:spacing w:line="360" w:lineRule="auto"/>
        <w:ind w:firstLine="480"/>
        <w:rPr>
          <w:rFonts w:ascii="Times New Roman" w:hAnsi="Times New Roman"/>
          <w:snapToGrid w:val="0"/>
          <w:szCs w:val="24"/>
        </w:rPr>
      </w:pPr>
      <w:r>
        <w:rPr>
          <w:rFonts w:hint="eastAsia" w:ascii="Times New Roman" w:hAnsi="Times New Roman"/>
          <w:snapToGrid w:val="0"/>
          <w:szCs w:val="24"/>
        </w:rPr>
        <w:t>（2）巡查人员失足从坝坡滑入水库，或者不慎从溢洪道边墙、交通桥、马道边沿等高处跌落。</w:t>
      </w:r>
    </w:p>
    <w:p>
      <w:pPr>
        <w:pStyle w:val="11"/>
        <w:snapToGrid w:val="0"/>
        <w:spacing w:line="360" w:lineRule="auto"/>
        <w:ind w:firstLine="480"/>
        <w:rPr>
          <w:rFonts w:ascii="Times New Roman" w:hAnsi="Times New Roman"/>
          <w:snapToGrid w:val="0"/>
          <w:szCs w:val="24"/>
        </w:rPr>
      </w:pPr>
      <w:r>
        <w:rPr>
          <w:rFonts w:hint="eastAsia" w:ascii="Times New Roman" w:hAnsi="Times New Roman"/>
          <w:snapToGrid w:val="0"/>
          <w:szCs w:val="24"/>
        </w:rPr>
        <w:t>（</w:t>
      </w:r>
      <w:r>
        <w:rPr>
          <w:rFonts w:ascii="Times New Roman" w:hAnsi="Times New Roman"/>
          <w:snapToGrid w:val="0"/>
          <w:szCs w:val="24"/>
        </w:rPr>
        <w:t>3</w:t>
      </w:r>
      <w:r>
        <w:rPr>
          <w:rFonts w:hint="eastAsia" w:ascii="Times New Roman" w:hAnsi="Times New Roman"/>
          <w:snapToGrid w:val="0"/>
          <w:szCs w:val="24"/>
        </w:rPr>
        <w:t>）设备漏泊、电缆电线保护层受损或老化引起短路、电器短路、设备发热量过大引起火灾危害。</w:t>
      </w:r>
    </w:p>
    <w:p>
      <w:pPr>
        <w:pStyle w:val="11"/>
        <w:snapToGrid w:val="0"/>
        <w:spacing w:line="360" w:lineRule="auto"/>
        <w:ind w:firstLine="480"/>
        <w:rPr>
          <w:snapToGrid w:val="0"/>
        </w:rPr>
      </w:pPr>
      <w:r>
        <w:rPr>
          <w:rFonts w:hint="eastAsia" w:ascii="Times New Roman" w:hAnsi="Times New Roman"/>
          <w:snapToGrid w:val="0"/>
          <w:szCs w:val="24"/>
        </w:rPr>
        <w:t>（4）水库周边村民在库区钓鱼、游泳存在水淹的风险。</w:t>
      </w:r>
    </w:p>
    <w:p>
      <w:pPr>
        <w:pStyle w:val="5"/>
        <w:spacing w:before="156" w:beforeLines="50" w:after="156" w:afterLines="50" w:line="360" w:lineRule="auto"/>
      </w:pPr>
      <w:bookmarkStart w:id="13" w:name="bookmark3031"/>
      <w:bookmarkEnd w:id="13"/>
      <w:bookmarkStart w:id="14" w:name="bookmark3030"/>
      <w:bookmarkEnd w:id="14"/>
      <w:bookmarkStart w:id="15" w:name="_Toc462735453"/>
      <w:bookmarkStart w:id="16" w:name="_Toc28273"/>
      <w:bookmarkStart w:id="17" w:name="_Toc313389706"/>
      <w:bookmarkStart w:id="18" w:name="_Toc316569242"/>
      <w:bookmarkStart w:id="19" w:name="_Toc462735456"/>
      <w:bookmarkStart w:id="20" w:name="_Toc345074497"/>
      <w:bookmarkStart w:id="21" w:name="_Toc316540197"/>
      <w:bookmarkStart w:id="22" w:name="_Toc316630418"/>
      <w:r>
        <w:t>11.2  劳动安全措施</w:t>
      </w:r>
      <w:bookmarkEnd w:id="15"/>
      <w:bookmarkEnd w:id="16"/>
    </w:p>
    <w:p>
      <w:pPr>
        <w:pStyle w:val="6"/>
        <w:spacing w:before="156" w:beforeLines="50" w:after="156" w:afterLines="50"/>
      </w:pPr>
      <w:r>
        <w:rPr>
          <w:rFonts w:hint="eastAsia"/>
        </w:rPr>
        <w:t>1</w:t>
      </w:r>
      <w:r>
        <w:t>1</w:t>
      </w:r>
      <w:r>
        <w:rPr>
          <w:rFonts w:hint="eastAsia"/>
        </w:rPr>
        <w:t>.2.1  防机械伤害、防坠落措施</w:t>
      </w:r>
    </w:p>
    <w:p>
      <w:pPr>
        <w:pStyle w:val="2"/>
        <w:ind w:firstLine="480"/>
      </w:pPr>
      <w:r>
        <w:rPr>
          <w:rFonts w:hint="eastAsia"/>
        </w:rPr>
        <w:t>（1）</w:t>
      </w:r>
      <w:r>
        <w:t>高度在2.0m以上的工作平台、人行通道（部位），在坠落面侧设置固定式防护栏杆。</w:t>
      </w:r>
    </w:p>
    <w:p>
      <w:pPr>
        <w:ind w:firstLine="480"/>
      </w:pPr>
      <w:r>
        <w:rPr>
          <w:rFonts w:hint="eastAsia"/>
        </w:rPr>
        <w:t>（2）</w:t>
      </w:r>
      <w:r>
        <w:t>凡</w:t>
      </w:r>
      <w:r>
        <w:rPr>
          <w:rFonts w:hint="eastAsia"/>
        </w:rPr>
        <w:t>检修时</w:t>
      </w:r>
      <w:r>
        <w:t>可能形成的坠落高度在2.0m以上的孔、坑，均设置固定栏杆及临时防护栏杆用的槽孔等措施，以便检修时设栏杆以保护检修人员的安全。</w:t>
      </w:r>
    </w:p>
    <w:p>
      <w:pPr>
        <w:ind w:firstLine="480"/>
      </w:pPr>
      <w:r>
        <w:rPr>
          <w:rFonts w:hint="eastAsia"/>
        </w:rPr>
        <w:t>（</w:t>
      </w:r>
      <w:r>
        <w:t>3</w:t>
      </w:r>
      <w:r>
        <w:rPr>
          <w:rFonts w:hint="eastAsia"/>
        </w:rPr>
        <w:t>）所有机械设备防护安全距离，机械设备防护罩和防护屏的安全要求，以及设备安全卫生要求，均符合《生产设备安全卫生设计总则》（</w:t>
      </w:r>
      <w:r>
        <w:t>GB5083-1999</w:t>
      </w:r>
      <w:r>
        <w:rPr>
          <w:rFonts w:hint="eastAsia"/>
        </w:rPr>
        <w:t>）、《机械安全</w:t>
      </w:r>
      <w:r>
        <w:t xml:space="preserve"> </w:t>
      </w:r>
      <w:r>
        <w:rPr>
          <w:rFonts w:hint="eastAsia"/>
        </w:rPr>
        <w:t>防止上下肢触及危险区的安全距离》（</w:t>
      </w:r>
      <w:r>
        <w:t>GB23821-2009</w:t>
      </w:r>
      <w:r>
        <w:rPr>
          <w:rFonts w:hint="eastAsia"/>
        </w:rPr>
        <w:t>）、《机械设备防护罩安全要求》（</w:t>
      </w:r>
      <w:r>
        <w:t>GB8196-2003</w:t>
      </w:r>
      <w:r>
        <w:rPr>
          <w:rFonts w:hint="eastAsia"/>
        </w:rPr>
        <w:t>）有关标准的规定。</w:t>
      </w:r>
    </w:p>
    <w:p>
      <w:pPr>
        <w:ind w:firstLine="480"/>
      </w:pPr>
      <w:r>
        <w:rPr>
          <w:rFonts w:hint="eastAsia"/>
        </w:rPr>
        <w:t>（4）启闭机等起吊设施所用钢丝绳、滑轮、吊钩符合《起重机械安全规程》（</w:t>
      </w:r>
      <w:r>
        <w:t>GB6067</w:t>
      </w:r>
      <w:r>
        <w:rPr>
          <w:rFonts w:hint="eastAsia"/>
        </w:rPr>
        <w:t>）的有关规定，吊运时按操作规程，避免碰伤、砸伤人员和吊件坠落。启闭机与墙的净距满足规范要求，开式齿轮设有防护罩。</w:t>
      </w:r>
    </w:p>
    <w:p>
      <w:pPr>
        <w:ind w:firstLine="480"/>
      </w:pPr>
      <w:r>
        <w:rPr>
          <w:rFonts w:hint="eastAsia"/>
        </w:rPr>
        <w:t>（5）</w:t>
      </w:r>
      <w:r>
        <w:t>楼梯、钢梯、平台均设扶手并采取防滑措施</w:t>
      </w:r>
      <w:r>
        <w:rPr>
          <w:rFonts w:hint="eastAsia"/>
        </w:rPr>
        <w:t>，</w:t>
      </w:r>
      <w:r>
        <w:rPr>
          <w:color w:val="000000"/>
          <w:kern w:val="0"/>
        </w:rPr>
        <w:t>所有工作平台在坠落面侧均设固定式防护栏杆。</w:t>
      </w:r>
    </w:p>
    <w:p>
      <w:pPr>
        <w:ind w:firstLine="480"/>
      </w:pPr>
      <w:r>
        <w:rPr>
          <w:rFonts w:hint="eastAsia"/>
        </w:rPr>
        <w:t>（</w:t>
      </w:r>
      <w:r>
        <w:t>6</w:t>
      </w:r>
      <w:r>
        <w:rPr>
          <w:rFonts w:hint="eastAsia"/>
        </w:rPr>
        <w:t>）施工机械运作范围布设安全标志，并设安全检测人员，减少机械对人身伤害。</w:t>
      </w:r>
    </w:p>
    <w:p>
      <w:pPr>
        <w:ind w:firstLine="480"/>
      </w:pPr>
      <w:r>
        <w:rPr>
          <w:rFonts w:hint="eastAsia"/>
        </w:rPr>
        <w:t>（</w:t>
      </w:r>
      <w:r>
        <w:t>7</w:t>
      </w:r>
      <w:r>
        <w:rPr>
          <w:rFonts w:hint="eastAsia"/>
        </w:rPr>
        <w:t>）高边坡开挖符合稳定要求，避免塌方。</w:t>
      </w:r>
    </w:p>
    <w:p>
      <w:pPr>
        <w:ind w:firstLine="480"/>
      </w:pPr>
      <w:r>
        <w:rPr>
          <w:rFonts w:hint="eastAsia"/>
        </w:rPr>
        <w:t>（8）施工期高空作业时，必须按照操作规程进行操作，做好安全防护措施，以免造成安全事故。</w:t>
      </w:r>
    </w:p>
    <w:p>
      <w:pPr>
        <w:pStyle w:val="6"/>
        <w:spacing w:before="156" w:beforeLines="50" w:after="156" w:afterLines="50"/>
      </w:pPr>
      <w:r>
        <w:t>11.2.2  防</w:t>
      </w:r>
      <w:r>
        <w:rPr>
          <w:rFonts w:hint="eastAsia"/>
        </w:rPr>
        <w:t>强风、防雷击措施</w:t>
      </w:r>
    </w:p>
    <w:p>
      <w:pPr>
        <w:tabs>
          <w:tab w:val="left" w:pos="360"/>
        </w:tabs>
        <w:adjustRightInd w:val="0"/>
        <w:snapToGrid w:val="0"/>
        <w:spacing w:line="500" w:lineRule="atLeast"/>
        <w:ind w:firstLine="480"/>
        <w:rPr>
          <w:color w:val="000000"/>
          <w:kern w:val="0"/>
        </w:rPr>
      </w:pPr>
      <w:r>
        <w:rPr>
          <w:rFonts w:hint="eastAsia"/>
          <w:lang w:bidi="en-US"/>
        </w:rPr>
        <w:t>（1）</w:t>
      </w:r>
      <w:r>
        <w:rPr>
          <w:color w:val="000000"/>
          <w:kern w:val="0"/>
        </w:rPr>
        <w:t>施工工区、施工仓库、施工辅助企业等临时建筑物场地应当做好排水措施，雨季和台风来临之前，要求对施工临时设施和电气设备进行检修，备好相应的防洪材料、工具储备。</w:t>
      </w:r>
    </w:p>
    <w:p>
      <w:pPr>
        <w:tabs>
          <w:tab w:val="left" w:pos="360"/>
        </w:tabs>
        <w:adjustRightInd w:val="0"/>
        <w:snapToGrid w:val="0"/>
        <w:spacing w:line="500" w:lineRule="atLeast"/>
        <w:ind w:firstLine="480"/>
        <w:rPr>
          <w:lang w:bidi="en-US"/>
        </w:rPr>
      </w:pPr>
      <w:r>
        <w:rPr>
          <w:rFonts w:hint="eastAsia"/>
          <w:lang w:bidi="en-US"/>
        </w:rPr>
        <w:t>（</w:t>
      </w:r>
      <w:r>
        <w:rPr>
          <w:lang w:bidi="en-US"/>
        </w:rPr>
        <w:t>2</w:t>
      </w:r>
      <w:r>
        <w:rPr>
          <w:rFonts w:hint="eastAsia"/>
          <w:lang w:bidi="en-US"/>
        </w:rPr>
        <w:t>）露天工作的起重机应安装有显示瞬时风速的风级风速报警仪。当风力大于工作状态的计算风速设定值时，风速仪应发出报警信号。</w:t>
      </w:r>
    </w:p>
    <w:p>
      <w:pPr>
        <w:tabs>
          <w:tab w:val="left" w:pos="360"/>
        </w:tabs>
        <w:adjustRightInd w:val="0"/>
        <w:snapToGrid w:val="0"/>
        <w:spacing w:line="500" w:lineRule="atLeast"/>
        <w:ind w:firstLine="480"/>
        <w:rPr>
          <w:lang w:bidi="en-US"/>
        </w:rPr>
      </w:pPr>
      <w:r>
        <w:rPr>
          <w:rFonts w:hint="eastAsia"/>
          <w:lang w:bidi="en-US"/>
        </w:rPr>
        <w:t>（</w:t>
      </w:r>
      <w:r>
        <w:rPr>
          <w:lang w:bidi="en-US"/>
        </w:rPr>
        <w:t>3</w:t>
      </w:r>
      <w:r>
        <w:rPr>
          <w:rFonts w:hint="eastAsia"/>
          <w:lang w:bidi="en-US"/>
        </w:rPr>
        <w:t>）电气设备和线路的选型、安装必须符合设计规范的安全要求。各种电气设备的外壳必须保持清理干净；各配电系统的接地装置，各配电系统的接地设计遵照《建筑物防雷设计规范》和《交流电气装置的接地》进行。</w:t>
      </w:r>
    </w:p>
    <w:p>
      <w:pPr>
        <w:tabs>
          <w:tab w:val="left" w:pos="360"/>
        </w:tabs>
        <w:adjustRightInd w:val="0"/>
        <w:snapToGrid w:val="0"/>
        <w:spacing w:line="500" w:lineRule="atLeast"/>
        <w:ind w:firstLine="480"/>
        <w:rPr>
          <w:lang w:bidi="en-US"/>
        </w:rPr>
      </w:pPr>
      <w:r>
        <w:rPr>
          <w:rFonts w:hint="eastAsia"/>
          <w:lang w:bidi="en-US"/>
        </w:rPr>
        <w:t>（4）为了防止直击雷破坏电气设备，利用建筑物天面钢筋点焊成防雷网格，女儿墙四周敷设避雷带并可靠引下地网。</w:t>
      </w:r>
    </w:p>
    <w:p>
      <w:pPr>
        <w:tabs>
          <w:tab w:val="left" w:pos="360"/>
        </w:tabs>
        <w:adjustRightInd w:val="0"/>
        <w:snapToGrid w:val="0"/>
        <w:spacing w:line="500" w:lineRule="atLeast"/>
        <w:ind w:firstLine="480"/>
        <w:rPr>
          <w:lang w:bidi="en-US"/>
        </w:rPr>
      </w:pPr>
      <w:r>
        <w:rPr>
          <w:rFonts w:hint="eastAsia"/>
          <w:lang w:bidi="en-US"/>
        </w:rPr>
        <w:t>（</w:t>
      </w:r>
      <w:r>
        <w:rPr>
          <w:lang w:bidi="en-US"/>
        </w:rPr>
        <w:t>5</w:t>
      </w:r>
      <w:r>
        <w:rPr>
          <w:rFonts w:hint="eastAsia"/>
          <w:lang w:bidi="en-US"/>
        </w:rPr>
        <w:t>）充分利用自然接地体，把底板钢筋、挡水墙钢筋、闸门预埋件、输水钢管等连接成具有良好通路的整体接地网。安全接地、工作接地、过电压保护接地使用一个接地装置。</w:t>
      </w:r>
    </w:p>
    <w:p>
      <w:pPr>
        <w:pStyle w:val="6"/>
        <w:spacing w:before="156" w:beforeLines="50" w:after="156" w:afterLines="50"/>
      </w:pPr>
      <w:r>
        <w:t>11.2.3</w:t>
      </w:r>
      <w:r>
        <w:rPr>
          <w:rFonts w:hint="eastAsia"/>
        </w:rPr>
        <w:t xml:space="preserve">  </w:t>
      </w:r>
      <w:r>
        <w:t>防火、防爆安全</w:t>
      </w:r>
    </w:p>
    <w:p>
      <w:pPr>
        <w:spacing w:line="360" w:lineRule="auto"/>
        <w:ind w:firstLine="480"/>
      </w:pPr>
      <w:r>
        <w:t>按照《中华人民共和国消防法》第二条的规定，防火、防爆安全贯彻预防为主、防消结合的方针，实行防火安全责任制。</w:t>
      </w:r>
      <w:r>
        <w:rPr>
          <w:rFonts w:hint="eastAsia"/>
        </w:rPr>
        <w:t>主要消防措施包括：</w:t>
      </w:r>
    </w:p>
    <w:p>
      <w:pPr>
        <w:spacing w:line="360" w:lineRule="auto"/>
        <w:ind w:firstLine="480"/>
      </w:pPr>
      <w:r>
        <w:rPr>
          <w:rFonts w:hint="eastAsia"/>
        </w:rPr>
        <w:t>（</w:t>
      </w:r>
      <w:r>
        <w:t>1</w:t>
      </w:r>
      <w:r>
        <w:rPr>
          <w:rFonts w:hint="eastAsia"/>
        </w:rPr>
        <w:t>）建立专职消防队，配备消防器材，训练人员上岗值班。</w:t>
      </w:r>
    </w:p>
    <w:p>
      <w:pPr>
        <w:spacing w:line="360" w:lineRule="auto"/>
        <w:ind w:firstLine="480"/>
      </w:pPr>
      <w:r>
        <w:rPr>
          <w:rFonts w:hint="eastAsia"/>
        </w:rPr>
        <w:t>（</w:t>
      </w:r>
      <w:r>
        <w:t>2</w:t>
      </w:r>
      <w:r>
        <w:rPr>
          <w:rFonts w:hint="eastAsia"/>
        </w:rPr>
        <w:t>）在消防设施和器材上设置安全标志、并定期组织检验、维修，</w:t>
      </w:r>
      <w:r>
        <w:rPr>
          <w:bCs/>
          <w:color w:val="000000"/>
          <w:lang w:bidi="ar"/>
        </w:rPr>
        <w:t>不得埋压圈占</w:t>
      </w:r>
      <w:r>
        <w:rPr>
          <w:rFonts w:hint="eastAsia"/>
          <w:bCs/>
          <w:color w:val="000000"/>
          <w:lang w:bidi="ar"/>
        </w:rPr>
        <w:t>；</w:t>
      </w:r>
      <w:r>
        <w:rPr>
          <w:bCs/>
          <w:color w:val="000000"/>
          <w:lang w:bidi="ar"/>
        </w:rPr>
        <w:t>经常检查自动报警装置是否灵敏；消火栓灭火器是否有效，并进行维护保养，失效的及时更新</w:t>
      </w:r>
      <w:r>
        <w:rPr>
          <w:rFonts w:hint="eastAsia"/>
          <w:bCs/>
          <w:color w:val="000000"/>
          <w:lang w:bidi="ar"/>
        </w:rPr>
        <w:t>，</w:t>
      </w:r>
      <w:r>
        <w:rPr>
          <w:rFonts w:hint="eastAsia"/>
        </w:rPr>
        <w:t>确保消防设施和器材完好、有效。</w:t>
      </w:r>
    </w:p>
    <w:p>
      <w:pPr>
        <w:spacing w:line="360" w:lineRule="auto"/>
        <w:ind w:firstLine="480"/>
      </w:pPr>
      <w:r>
        <w:rPr>
          <w:rFonts w:hint="eastAsia"/>
        </w:rPr>
        <w:t>（</w:t>
      </w:r>
      <w:r>
        <w:t>3</w:t>
      </w:r>
      <w:r>
        <w:rPr>
          <w:rFonts w:hint="eastAsia"/>
        </w:rPr>
        <w:t>）制定本工程的消防安全制度、消防安全操作规程。</w:t>
      </w:r>
    </w:p>
    <w:p>
      <w:pPr>
        <w:spacing w:line="360" w:lineRule="auto"/>
        <w:ind w:firstLine="480"/>
      </w:pPr>
      <w:r>
        <w:rPr>
          <w:rFonts w:hint="eastAsia"/>
        </w:rPr>
        <w:t>（</w:t>
      </w:r>
      <w:r>
        <w:t>4</w:t>
      </w:r>
      <w:r>
        <w:rPr>
          <w:rFonts w:hint="eastAsia"/>
        </w:rPr>
        <w:t>）实行防火安全责任制，</w:t>
      </w:r>
      <w:r>
        <w:rPr>
          <w:bCs/>
          <w:color w:val="000000"/>
          <w:lang w:bidi="ar"/>
        </w:rPr>
        <w:t>划分防火区域，分区负责，</w:t>
      </w:r>
      <w:r>
        <w:rPr>
          <w:rFonts w:hint="eastAsia"/>
        </w:rPr>
        <w:t>确定消防安全责任人。</w:t>
      </w:r>
    </w:p>
    <w:p>
      <w:pPr>
        <w:spacing w:line="360" w:lineRule="auto"/>
        <w:ind w:firstLine="480"/>
      </w:pPr>
      <w:r>
        <w:rPr>
          <w:rFonts w:hint="eastAsia"/>
        </w:rPr>
        <w:t>（</w:t>
      </w:r>
      <w:r>
        <w:t>5</w:t>
      </w:r>
      <w:r>
        <w:rPr>
          <w:rFonts w:hint="eastAsia"/>
        </w:rPr>
        <w:t>）对职工进行消防安全培训。</w:t>
      </w:r>
    </w:p>
    <w:p>
      <w:pPr>
        <w:spacing w:line="360" w:lineRule="auto"/>
        <w:ind w:firstLine="480"/>
      </w:pPr>
      <w:r>
        <w:rPr>
          <w:rFonts w:hint="eastAsia"/>
        </w:rPr>
        <w:t>（</w:t>
      </w:r>
      <w:r>
        <w:t>6</w:t>
      </w:r>
      <w:r>
        <w:rPr>
          <w:rFonts w:hint="eastAsia"/>
        </w:rPr>
        <w:t>）保障各个疏散通道、安全出口畅通，</w:t>
      </w:r>
      <w:r>
        <w:rPr>
          <w:bCs/>
          <w:color w:val="000000"/>
          <w:lang w:bidi="ar"/>
        </w:rPr>
        <w:t>严禁堆放物品，停放车辆</w:t>
      </w:r>
      <w:r>
        <w:rPr>
          <w:rFonts w:hint="eastAsia"/>
          <w:bCs/>
          <w:color w:val="000000"/>
          <w:lang w:bidi="ar"/>
        </w:rPr>
        <w:t>，</w:t>
      </w:r>
      <w:r>
        <w:rPr>
          <w:rFonts w:hint="eastAsia"/>
        </w:rPr>
        <w:t>并设置符合国家规定的消防安全疏散标志，</w:t>
      </w:r>
      <w:r>
        <w:rPr>
          <w:bCs/>
          <w:color w:val="000000"/>
          <w:lang w:bidi="ar"/>
        </w:rPr>
        <w:t>疏散标志和指示灯要保证完好长明。</w:t>
      </w:r>
    </w:p>
    <w:p>
      <w:pPr>
        <w:spacing w:line="360" w:lineRule="auto"/>
        <w:ind w:firstLine="480"/>
      </w:pPr>
      <w:r>
        <w:rPr>
          <w:rFonts w:hint="eastAsia"/>
        </w:rPr>
        <w:t>（7）</w:t>
      </w:r>
      <w:r>
        <w:t>发生火灾后，紧急广播通知在场人员进行扑救</w:t>
      </w:r>
      <w:r>
        <w:rPr>
          <w:rFonts w:hint="eastAsia"/>
        </w:rPr>
        <w:t>，</w:t>
      </w:r>
      <w:r>
        <w:t>并通知专职消防人员进入事故现场。指示在场人员按指示的方向疏散避难</w:t>
      </w:r>
      <w:r>
        <w:rPr>
          <w:rFonts w:hint="eastAsia"/>
        </w:rPr>
        <w:t>，</w:t>
      </w:r>
      <w:r>
        <w:t>采取</w:t>
      </w:r>
      <w:r>
        <w:rPr>
          <w:rFonts w:hint="eastAsia"/>
        </w:rPr>
        <w:t>相应措施如</w:t>
      </w:r>
      <w:r>
        <w:t>利用消防栓、灭火器等灭火</w:t>
      </w:r>
      <w:r>
        <w:rPr>
          <w:rFonts w:hint="eastAsia"/>
        </w:rPr>
        <w:t>设施灭火</w:t>
      </w:r>
      <w:r>
        <w:t>。</w:t>
      </w:r>
      <w:r>
        <w:rPr>
          <w:rFonts w:hint="eastAsia"/>
        </w:rPr>
        <w:t>通知医疗卫生人员利用急救车抢救烧伤和电击伤害人员，伤情严重者送城市医院急救。</w:t>
      </w:r>
    </w:p>
    <w:p>
      <w:pPr>
        <w:pStyle w:val="6"/>
        <w:spacing w:before="156" w:beforeLines="50" w:after="156" w:afterLines="50"/>
      </w:pPr>
      <w:bookmarkStart w:id="23" w:name="_Toc354600036"/>
      <w:bookmarkStart w:id="24" w:name="_Toc350498229"/>
      <w:bookmarkStart w:id="25" w:name="_Toc328679670"/>
      <w:bookmarkStart w:id="26" w:name="_Toc339382099"/>
      <w:bookmarkStart w:id="27" w:name="_Toc324172728"/>
      <w:bookmarkStart w:id="28" w:name="_Toc339215636"/>
      <w:bookmarkStart w:id="29" w:name="_Toc352709963"/>
      <w:bookmarkStart w:id="30" w:name="_Toc350436697"/>
      <w:bookmarkStart w:id="31" w:name="_Toc339381736"/>
      <w:bookmarkStart w:id="32" w:name="_Toc339376770"/>
      <w:bookmarkStart w:id="33" w:name="_Toc194801690"/>
      <w:bookmarkStart w:id="34" w:name="_Toc175470907"/>
      <w:r>
        <w:t>11.2.4</w:t>
      </w:r>
      <w:r>
        <w:rPr>
          <w:rFonts w:hint="eastAsia"/>
        </w:rPr>
        <w:t xml:space="preserve"> </w:t>
      </w:r>
      <w:r>
        <w:t>防电气伤害对策措施</w:t>
      </w:r>
      <w:bookmarkEnd w:id="23"/>
      <w:bookmarkEnd w:id="24"/>
      <w:bookmarkEnd w:id="25"/>
      <w:bookmarkEnd w:id="26"/>
      <w:bookmarkEnd w:id="27"/>
      <w:bookmarkEnd w:id="28"/>
      <w:bookmarkEnd w:id="29"/>
      <w:bookmarkEnd w:id="30"/>
      <w:bookmarkEnd w:id="31"/>
      <w:bookmarkEnd w:id="32"/>
    </w:p>
    <w:p>
      <w:pPr>
        <w:spacing w:line="360" w:lineRule="auto"/>
        <w:ind w:firstLine="480"/>
        <w:rPr>
          <w:bCs/>
        </w:rPr>
      </w:pPr>
      <w:r>
        <w:rPr>
          <w:rFonts w:hint="eastAsia"/>
          <w:bCs/>
        </w:rPr>
        <w:t>（1）为防止运行人员操作维护中发生触电事故，保证运行人员的安全，电气设备的防护围拦按《水利水电工程劳动安全与工业卫生设计规范》（</w:t>
      </w:r>
      <w:r>
        <w:rPr>
          <w:bCs/>
        </w:rPr>
        <w:t>GB 50706-2011</w:t>
      </w:r>
      <w:r>
        <w:rPr>
          <w:rFonts w:hint="eastAsia"/>
          <w:bCs/>
        </w:rPr>
        <w:t>）的规定设计。对于有可能触电危险的部位，为增加运行安全感，装设保护网。</w:t>
      </w:r>
      <w:r>
        <w:rPr>
          <w:bCs/>
        </w:rPr>
        <w:t>对施工设备和人员可能触及的带电部位设置相应的防护围栏和安全标志。</w:t>
      </w:r>
    </w:p>
    <w:p>
      <w:pPr>
        <w:spacing w:line="360" w:lineRule="auto"/>
        <w:ind w:firstLine="480"/>
        <w:rPr>
          <w:bCs/>
        </w:rPr>
      </w:pPr>
      <w:r>
        <w:rPr>
          <w:rFonts w:hint="eastAsia"/>
          <w:bCs/>
        </w:rPr>
        <w:t>（2）屋外开敞式电气设备，应在周围设置高度不低于</w:t>
      </w:r>
      <w:r>
        <w:rPr>
          <w:bCs/>
        </w:rPr>
        <w:t xml:space="preserve">1.5m </w:t>
      </w:r>
      <w:r>
        <w:rPr>
          <w:rFonts w:hint="eastAsia"/>
          <w:bCs/>
        </w:rPr>
        <w:t>的围栏。对人员可能触及的初期投运配电装置的带电部位应设置相应的防护围栏和安全标志。</w:t>
      </w:r>
    </w:p>
    <w:p>
      <w:pPr>
        <w:spacing w:line="360" w:lineRule="auto"/>
        <w:ind w:firstLine="480"/>
        <w:rPr>
          <w:bCs/>
        </w:rPr>
      </w:pPr>
      <w:r>
        <w:rPr>
          <w:rFonts w:hint="eastAsia"/>
          <w:bCs/>
        </w:rPr>
        <w:t>（</w:t>
      </w:r>
      <w:r>
        <w:rPr>
          <w:bCs/>
        </w:rPr>
        <w:t>3</w:t>
      </w:r>
      <w:r>
        <w:rPr>
          <w:rFonts w:hint="eastAsia"/>
          <w:bCs/>
        </w:rPr>
        <w:t>）</w:t>
      </w:r>
      <w:r>
        <w:rPr>
          <w:bCs/>
        </w:rPr>
        <w:t>对于电气设备及建筑物</w:t>
      </w:r>
      <w:r>
        <w:rPr>
          <w:rFonts w:hint="eastAsia"/>
          <w:bCs/>
        </w:rPr>
        <w:t>，</w:t>
      </w:r>
      <w:r>
        <w:rPr>
          <w:bCs/>
        </w:rPr>
        <w:t>根据规范要求，设置防雷设施和接地装置。</w:t>
      </w:r>
    </w:p>
    <w:bookmarkEnd w:id="33"/>
    <w:bookmarkEnd w:id="34"/>
    <w:p>
      <w:pPr>
        <w:pStyle w:val="6"/>
        <w:spacing w:before="156" w:beforeLines="50" w:after="156" w:afterLines="50"/>
      </w:pPr>
      <w:r>
        <w:t>11.2.6  防交通事故伤害</w:t>
      </w:r>
    </w:p>
    <w:p>
      <w:pPr>
        <w:tabs>
          <w:tab w:val="left" w:pos="360"/>
        </w:tabs>
        <w:adjustRightInd w:val="0"/>
        <w:snapToGrid w:val="0"/>
        <w:spacing w:line="490" w:lineRule="atLeast"/>
        <w:ind w:firstLine="480"/>
        <w:rPr>
          <w:color w:val="000000"/>
        </w:rPr>
      </w:pPr>
      <w:r>
        <w:rPr>
          <w:rFonts w:hint="eastAsia"/>
          <w:color w:val="000000"/>
        </w:rPr>
        <w:t>（1）</w:t>
      </w:r>
      <w:r>
        <w:rPr>
          <w:color w:val="000000"/>
        </w:rPr>
        <w:t>各类车辆驾驶员必须获得相应的驾驶证，上岗证，并且不能驾驶不符合自身驾照规定的车辆。</w:t>
      </w:r>
    </w:p>
    <w:p>
      <w:pPr>
        <w:tabs>
          <w:tab w:val="left" w:pos="360"/>
        </w:tabs>
        <w:adjustRightInd w:val="0"/>
        <w:snapToGrid w:val="0"/>
        <w:spacing w:line="490" w:lineRule="atLeast"/>
        <w:ind w:firstLine="480"/>
        <w:rPr>
          <w:color w:val="000000"/>
        </w:rPr>
      </w:pPr>
      <w:r>
        <w:rPr>
          <w:rFonts w:hint="eastAsia"/>
          <w:color w:val="000000"/>
        </w:rPr>
        <w:t>（2）</w:t>
      </w:r>
      <w:r>
        <w:rPr>
          <w:color w:val="000000"/>
        </w:rPr>
        <w:t>各类车辆必须定期保养、检测和维修。存在安全隐患的车辆未经修理合格不准使用。</w:t>
      </w:r>
    </w:p>
    <w:p>
      <w:pPr>
        <w:tabs>
          <w:tab w:val="left" w:pos="360"/>
        </w:tabs>
        <w:adjustRightInd w:val="0"/>
        <w:snapToGrid w:val="0"/>
        <w:spacing w:line="490" w:lineRule="atLeast"/>
        <w:ind w:firstLine="480"/>
        <w:rPr>
          <w:color w:val="000000"/>
        </w:rPr>
      </w:pPr>
      <w:r>
        <w:rPr>
          <w:rFonts w:hint="eastAsia"/>
          <w:color w:val="000000"/>
        </w:rPr>
        <w:t>（3）</w:t>
      </w:r>
      <w:r>
        <w:rPr>
          <w:color w:val="000000"/>
        </w:rPr>
        <w:t>应做好施工场地及运输道路的维护工作，防止施工扬尘对大气的污染及影响开车视线，防止路面坎坷不平对车辆行驶的潜在安全影响；对水泥、砂石料等实行库内堆放或加盖蓬布，尽可能避免刮风扬尘及减少泥灰砂石对开车视线的影响；当工地裸露地面较干燥时，应使用洒水方法防止扬尘。</w:t>
      </w:r>
    </w:p>
    <w:p>
      <w:pPr>
        <w:tabs>
          <w:tab w:val="left" w:pos="360"/>
        </w:tabs>
        <w:adjustRightInd w:val="0"/>
        <w:snapToGrid w:val="0"/>
        <w:spacing w:line="490" w:lineRule="atLeast"/>
        <w:ind w:firstLine="480"/>
        <w:rPr>
          <w:color w:val="000000"/>
        </w:rPr>
      </w:pPr>
      <w:r>
        <w:rPr>
          <w:rFonts w:hint="eastAsia"/>
          <w:color w:val="000000"/>
        </w:rPr>
        <w:t>（4）</w:t>
      </w:r>
      <w:r>
        <w:rPr>
          <w:color w:val="000000"/>
        </w:rPr>
        <w:t>经常对驾驶员进行安全教育宣传和培训，要求驾驶员严格遵守国家交通法律和法规。</w:t>
      </w:r>
    </w:p>
    <w:p>
      <w:pPr>
        <w:pStyle w:val="5"/>
        <w:spacing w:before="156" w:beforeLines="50" w:after="156" w:afterLines="50" w:line="360" w:lineRule="auto"/>
      </w:pPr>
      <w:bookmarkStart w:id="35" w:name="_Toc32202"/>
      <w:r>
        <w:t>11.3  工业卫生</w:t>
      </w:r>
      <w:bookmarkEnd w:id="17"/>
      <w:r>
        <w:t>措施</w:t>
      </w:r>
      <w:bookmarkEnd w:id="18"/>
      <w:bookmarkEnd w:id="19"/>
      <w:bookmarkEnd w:id="20"/>
      <w:bookmarkEnd w:id="21"/>
      <w:bookmarkEnd w:id="22"/>
      <w:bookmarkEnd w:id="35"/>
    </w:p>
    <w:p>
      <w:pPr>
        <w:pStyle w:val="6"/>
        <w:spacing w:before="156" w:beforeLines="50" w:after="156" w:afterLines="50"/>
      </w:pPr>
      <w:bookmarkStart w:id="36" w:name="_Toc246911025"/>
      <w:bookmarkStart w:id="37" w:name="_Toc246911020"/>
      <w:bookmarkStart w:id="38" w:name="_Toc246910601"/>
      <w:bookmarkStart w:id="39" w:name="_Toc246910737"/>
      <w:bookmarkStart w:id="40" w:name="_Toc246910850"/>
      <w:bookmarkStart w:id="41" w:name="_Toc246910690"/>
      <w:bookmarkStart w:id="42" w:name="_Toc246910596"/>
      <w:bookmarkStart w:id="43" w:name="_Toc263169448"/>
      <w:bookmarkStart w:id="44" w:name="_Toc246910855"/>
      <w:bookmarkStart w:id="45" w:name="_Toc222562052"/>
      <w:bookmarkStart w:id="46" w:name="_Toc246910695"/>
      <w:bookmarkStart w:id="47" w:name="_Toc222562047"/>
      <w:bookmarkStart w:id="48" w:name="_Toc263169443"/>
      <w:bookmarkStart w:id="49" w:name="_Toc246910732"/>
      <w:r>
        <w:t xml:space="preserve">11.3.1  </w:t>
      </w:r>
      <w:r>
        <w:rPr>
          <w:rFonts w:hint="eastAsia"/>
        </w:rPr>
        <w:t>防噪声与振动</w:t>
      </w:r>
    </w:p>
    <w:p>
      <w:pPr>
        <w:spacing w:line="520" w:lineRule="atLeast"/>
        <w:ind w:firstLine="480"/>
        <w:rPr>
          <w:color w:val="000000"/>
        </w:rPr>
      </w:pPr>
      <w:r>
        <w:rPr>
          <w:rFonts w:hint="eastAsia"/>
          <w:color w:val="000000"/>
        </w:rPr>
        <w:t>各生产、</w:t>
      </w:r>
      <w:r>
        <w:rPr>
          <w:rFonts w:hint="eastAsia" w:ascii="宋体" w:cs="宋体"/>
          <w:kern w:val="0"/>
        </w:rPr>
        <w:t>工作场所的噪声设计及设备选型</w:t>
      </w:r>
      <w:r>
        <w:rPr>
          <w:rFonts w:hint="eastAsia"/>
        </w:rPr>
        <w:t>按《水利水电工程劳动安全与工业卫生设计规范》（GB50706-2011）规定要求执行。本工程产生噪声、振动危害的机械设备主要有施工机械、发电机、混凝土施工、钢筋加工等，应充分利用地形、声源指向、施工围蔽、绿化等因素合理布置有关设备和建筑物（房间），必要的部位采取隔声、吸声、消声、隔振、减振、阻尼等综合防护措施。尽量采用</w:t>
      </w:r>
      <w:r>
        <w:t>自然通风，</w:t>
      </w:r>
      <w:r>
        <w:rPr>
          <w:rFonts w:hint="eastAsia"/>
        </w:rPr>
        <w:t>既节能</w:t>
      </w:r>
      <w:r>
        <w:t>又能减少通风设备振动产生的噪音。</w:t>
      </w:r>
    </w:p>
    <w:p>
      <w:pPr>
        <w:pStyle w:val="6"/>
        <w:spacing w:before="156" w:beforeLines="50" w:after="156" w:afterLines="50"/>
      </w:pPr>
      <w:r>
        <w:t xml:space="preserve">11.3.2  </w:t>
      </w:r>
      <w:r>
        <w:rPr>
          <w:rFonts w:hint="eastAsia"/>
        </w:rPr>
        <w:t>防尘、防污、附腐蚀、防毒</w:t>
      </w:r>
    </w:p>
    <w:p>
      <w:pPr>
        <w:spacing w:line="360" w:lineRule="auto"/>
        <w:ind w:firstLine="480"/>
        <w:rPr>
          <w:rFonts w:ascii="宋体" w:cs="宋体"/>
          <w:kern w:val="0"/>
        </w:rPr>
      </w:pPr>
      <w:r>
        <w:rPr>
          <w:rFonts w:hint="eastAsia"/>
          <w:color w:val="000000"/>
        </w:rPr>
        <w:t>（1）</w:t>
      </w:r>
      <w:r>
        <w:rPr>
          <w:rFonts w:hint="eastAsia" w:ascii="宋体" w:cs="宋体"/>
          <w:kern w:val="0"/>
        </w:rPr>
        <w:t>易发生火灾的部位应设置事故排烟设备。</w:t>
      </w:r>
    </w:p>
    <w:p>
      <w:pPr>
        <w:spacing w:line="360" w:lineRule="auto"/>
        <w:ind w:firstLine="480"/>
        <w:rPr>
          <w:rFonts w:ascii="宋体" w:cs="宋体"/>
          <w:kern w:val="0"/>
        </w:rPr>
      </w:pPr>
      <w:r>
        <w:rPr>
          <w:rFonts w:hint="eastAsia"/>
          <w:color w:val="000000"/>
        </w:rPr>
        <w:t>（</w:t>
      </w:r>
      <w:r>
        <w:rPr>
          <w:color w:val="000000"/>
        </w:rPr>
        <w:t>2</w:t>
      </w:r>
      <w:r>
        <w:rPr>
          <w:rFonts w:hint="eastAsia"/>
          <w:color w:val="000000"/>
        </w:rPr>
        <w:t>）</w:t>
      </w:r>
      <w:r>
        <w:rPr>
          <w:rFonts w:hint="eastAsia" w:ascii="宋体" w:cs="宋体"/>
          <w:kern w:val="0"/>
        </w:rPr>
        <w:t>生产生活用房的建筑装修材料，一定要选择符合国家有关卫生标准规定的达标产品，防止散发有毒有害物质或放射性物质，危害人体健康。</w:t>
      </w:r>
    </w:p>
    <w:p>
      <w:pPr>
        <w:spacing w:line="360" w:lineRule="auto"/>
        <w:ind w:firstLine="480"/>
        <w:rPr>
          <w:rFonts w:ascii="宋体" w:cs="宋体"/>
          <w:kern w:val="0"/>
        </w:rPr>
      </w:pPr>
      <w:r>
        <w:rPr>
          <w:rFonts w:hint="eastAsia"/>
          <w:color w:val="000000"/>
        </w:rPr>
        <w:t>（</w:t>
      </w:r>
      <w:r>
        <w:rPr>
          <w:color w:val="000000"/>
        </w:rPr>
        <w:t>3</w:t>
      </w:r>
      <w:r>
        <w:rPr>
          <w:rFonts w:hint="eastAsia"/>
          <w:color w:val="000000"/>
        </w:rPr>
        <w:t>）</w:t>
      </w:r>
      <w:r>
        <w:rPr>
          <w:rFonts w:hint="eastAsia" w:ascii="宋体" w:cs="宋体"/>
          <w:kern w:val="0"/>
        </w:rPr>
        <w:t>生活水（包括厕所污水）经处理后方排入地面水体。</w:t>
      </w:r>
    </w:p>
    <w:p>
      <w:pPr>
        <w:spacing w:line="360" w:lineRule="auto"/>
        <w:ind w:firstLine="480"/>
        <w:rPr>
          <w:rFonts w:ascii="宋体" w:cs="宋体"/>
          <w:kern w:val="0"/>
        </w:rPr>
      </w:pPr>
      <w:r>
        <w:rPr>
          <w:rFonts w:hint="eastAsia"/>
          <w:color w:val="000000"/>
        </w:rPr>
        <w:t>（</w:t>
      </w:r>
      <w:r>
        <w:rPr>
          <w:color w:val="000000"/>
        </w:rPr>
        <w:t>4</w:t>
      </w:r>
      <w:r>
        <w:rPr>
          <w:rFonts w:hint="eastAsia"/>
          <w:color w:val="000000"/>
        </w:rPr>
        <w:t>）启闭机</w:t>
      </w:r>
      <w:r>
        <w:rPr>
          <w:rFonts w:hint="eastAsia" w:ascii="宋体" w:cs="宋体"/>
          <w:kern w:val="0"/>
        </w:rPr>
        <w:t>支撑构件、启闭杆、基座等采取合理的防腐蚀措施。除锈、涂漆等防腐处理工艺应符合国家现行的有关标准的规定。</w:t>
      </w:r>
    </w:p>
    <w:p>
      <w:pPr>
        <w:spacing w:line="360" w:lineRule="auto"/>
        <w:ind w:firstLine="480"/>
      </w:pPr>
      <w:r>
        <w:rPr>
          <w:rFonts w:hint="eastAsia"/>
          <w:color w:val="000000"/>
        </w:rPr>
        <w:t>（</w:t>
      </w:r>
      <w:r>
        <w:rPr>
          <w:color w:val="000000"/>
        </w:rPr>
        <w:t>5</w:t>
      </w:r>
      <w:r>
        <w:rPr>
          <w:rFonts w:hint="eastAsia"/>
          <w:color w:val="000000"/>
        </w:rPr>
        <w:t>）</w:t>
      </w:r>
      <w:r>
        <w:rPr>
          <w:rFonts w:hint="eastAsia" w:ascii="宋体" w:cs="宋体"/>
          <w:kern w:val="0"/>
        </w:rPr>
        <w:t>机械通风系统的进风口位置在屋外空气比较洁净的地方并设在排风口的上风侧。</w:t>
      </w:r>
    </w:p>
    <w:p>
      <w:pPr>
        <w:pStyle w:val="6"/>
        <w:spacing w:before="156" w:beforeLines="50" w:after="156" w:afterLines="50"/>
      </w:pPr>
      <w:bookmarkStart w:id="50" w:name="_Toc462735458"/>
      <w:r>
        <w:t>11.3.3  采光与照明、通风、温度与湿度控制</w:t>
      </w:r>
      <w:bookmarkEnd w:id="50"/>
    </w:p>
    <w:p>
      <w:pPr>
        <w:ind w:firstLine="480"/>
      </w:pPr>
      <w:r>
        <w:rPr>
          <w:rFonts w:hint="eastAsia"/>
        </w:rPr>
        <w:t>作业环境不良，会使作业人员处于身体疲劳、视线不清、注意力不集中、反应迟饨、昏昏欲睡状态，使操作失误增多，所以也是导致事故发生的危害因素。</w:t>
      </w:r>
    </w:p>
    <w:p>
      <w:pPr>
        <w:ind w:firstLine="480"/>
      </w:pPr>
      <w:r>
        <w:rPr>
          <w:rFonts w:hint="eastAsia"/>
        </w:rPr>
        <w:t>高温环境会引起中暑，长期高温作业（数年）可出现高血压、心肌受损和消化功能障碍病症。工程各类工作场所的室内空气均应控制在一定的温度和限度。</w:t>
      </w:r>
    </w:p>
    <w:p>
      <w:pPr>
        <w:ind w:firstLine="480"/>
      </w:pPr>
      <w:r>
        <w:rPr>
          <w:rFonts w:hint="eastAsia"/>
        </w:rPr>
        <w:t>（1）</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Start w:id="51" w:name="_Toc246910600"/>
      <w:bookmarkStart w:id="52" w:name="_Toc246910694"/>
      <w:bookmarkStart w:id="53" w:name="_Toc246911024"/>
      <w:bookmarkStart w:id="54" w:name="_Toc222562051"/>
      <w:bookmarkStart w:id="55" w:name="_Toc246910736"/>
      <w:bookmarkStart w:id="56" w:name="_Toc246910854"/>
      <w:bookmarkStart w:id="57" w:name="_Toc263169447"/>
      <w:r>
        <w:rPr>
          <w:rFonts w:hint="eastAsia"/>
        </w:rPr>
        <w:t>启闭室、管养房</w:t>
      </w:r>
      <w:r>
        <w:t>室等地面建筑物主要</w:t>
      </w:r>
      <w:r>
        <w:rPr>
          <w:rFonts w:hint="eastAsia"/>
        </w:rPr>
        <w:t>采用</w:t>
      </w:r>
      <w:r>
        <w:t>自然采光，辅以人工照明。设计依据为国家标准《工业企业采光设计标准》(GB50033)、《工业企业照明设计标准》(GB50034)。在建筑楼梯口设立紧急情况下作安全疏散用的应急灯，应急灯内的蓄电池应随时充满电。工程按“绿色照明”设计，即采用高效节能光源、灯具、灯用电器附件和</w:t>
      </w:r>
      <w:r>
        <w:rPr>
          <w:rFonts w:hint="eastAsia"/>
        </w:rPr>
        <w:t>声</w:t>
      </w:r>
      <w:r>
        <w:t>控光开关等。</w:t>
      </w:r>
    </w:p>
    <w:p>
      <w:pPr>
        <w:spacing w:line="360" w:lineRule="auto"/>
        <w:ind w:firstLine="480"/>
        <w:rPr>
          <w:rFonts w:ascii="宋体" w:cs="宋体"/>
          <w:kern w:val="0"/>
        </w:rPr>
      </w:pPr>
      <w:r>
        <w:rPr>
          <w:rFonts w:hint="eastAsia" w:ascii="宋体" w:cs="宋体"/>
          <w:kern w:val="0"/>
        </w:rPr>
        <w:t>（</w:t>
      </w:r>
      <w:r>
        <w:rPr>
          <w:rFonts w:ascii="宋体" w:cs="宋体"/>
          <w:kern w:val="0"/>
        </w:rPr>
        <w:t>2</w:t>
      </w:r>
      <w:r>
        <w:rPr>
          <w:rFonts w:hint="eastAsia" w:ascii="宋体" w:cs="宋体"/>
          <w:kern w:val="0"/>
        </w:rPr>
        <w:t>）在夏季高温环境中作业和施工时，应采取必要的遮挡日晒和防暑降温措施。连续工作时间不宜过长，要符合有关规定，要合理安排工作时间。</w:t>
      </w:r>
    </w:p>
    <w:p>
      <w:pPr>
        <w:spacing w:line="360" w:lineRule="auto"/>
        <w:ind w:firstLine="480"/>
        <w:rPr>
          <w:rFonts w:ascii="宋体" w:cs="宋体"/>
          <w:kern w:val="0"/>
        </w:rPr>
      </w:pPr>
      <w:r>
        <w:rPr>
          <w:rFonts w:hint="eastAsia" w:ascii="宋体" w:cs="宋体"/>
          <w:kern w:val="0"/>
        </w:rPr>
        <w:t>（</w:t>
      </w:r>
      <w:r>
        <w:rPr>
          <w:rFonts w:ascii="宋体" w:cs="宋体"/>
          <w:kern w:val="0"/>
        </w:rPr>
        <w:t>3</w:t>
      </w:r>
      <w:r>
        <w:rPr>
          <w:rFonts w:hint="eastAsia" w:ascii="宋体" w:cs="宋体"/>
          <w:kern w:val="0"/>
        </w:rPr>
        <w:t>）各种工作场所天然采光照明度均满足《水利水电工程劳动安全与工业卫生设计规范》（</w:t>
      </w:r>
      <w:r>
        <w:rPr>
          <w:rFonts w:ascii="宋体" w:cs="宋体"/>
          <w:kern w:val="0"/>
        </w:rPr>
        <w:t>GB50706-2011</w:t>
      </w:r>
      <w:r>
        <w:rPr>
          <w:rFonts w:hint="eastAsia" w:ascii="宋体" w:cs="宋体"/>
          <w:kern w:val="0"/>
        </w:rPr>
        <w:t>）的有关规定。</w:t>
      </w:r>
    </w:p>
    <w:p>
      <w:pPr>
        <w:pStyle w:val="6"/>
        <w:spacing w:before="156" w:beforeLines="50" w:after="156" w:afterLines="50"/>
      </w:pPr>
      <w:r>
        <w:t xml:space="preserve">11.3. 4  </w:t>
      </w:r>
      <w:r>
        <w:rPr>
          <w:rFonts w:hint="eastAsia"/>
        </w:rPr>
        <w:t>防电磁辐射</w:t>
      </w:r>
    </w:p>
    <w:p>
      <w:pPr>
        <w:ind w:firstLine="480"/>
      </w:pPr>
      <w:r>
        <w:rPr>
          <w:rFonts w:hint="eastAsia"/>
        </w:rPr>
        <w:t>（</w:t>
      </w:r>
      <w:r>
        <w:t>1</w:t>
      </w:r>
      <w:r>
        <w:rPr>
          <w:rFonts w:hint="eastAsia"/>
        </w:rPr>
        <w:t>）遵守辐射防护三原则</w:t>
      </w:r>
      <w:r>
        <w:t>(</w:t>
      </w:r>
      <w:r>
        <w:rPr>
          <w:rFonts w:hint="eastAsia"/>
        </w:rPr>
        <w:t>屏蔽、防护距离和缩短照射时间</w:t>
      </w:r>
      <w:r>
        <w:t>)</w:t>
      </w:r>
      <w:r>
        <w:rPr>
          <w:rFonts w:hint="eastAsia"/>
        </w:rPr>
        <w:t>，使各区域工作人员受到的辐射照射不超过标准规定的个人剂量限制值。</w:t>
      </w:r>
    </w:p>
    <w:p>
      <w:pPr>
        <w:ind w:firstLine="480"/>
      </w:pPr>
      <w:r>
        <w:rPr>
          <w:rFonts w:hint="eastAsia"/>
        </w:rPr>
        <w:t>（</w:t>
      </w:r>
      <w:r>
        <w:t>2</w:t>
      </w:r>
      <w:r>
        <w:rPr>
          <w:rFonts w:hint="eastAsia"/>
        </w:rPr>
        <w:t>）减免影响或防护的措施。放水涵闸门启闭均采用手电两用启闭机，可以减少电磁辐射。</w:t>
      </w:r>
    </w:p>
    <w:bookmarkEnd w:id="51"/>
    <w:bookmarkEnd w:id="52"/>
    <w:bookmarkEnd w:id="53"/>
    <w:bookmarkEnd w:id="54"/>
    <w:bookmarkEnd w:id="55"/>
    <w:bookmarkEnd w:id="56"/>
    <w:bookmarkEnd w:id="57"/>
    <w:p>
      <w:pPr>
        <w:pStyle w:val="5"/>
        <w:spacing w:before="156" w:beforeLines="50" w:after="156" w:afterLines="50" w:line="360" w:lineRule="auto"/>
      </w:pPr>
      <w:bookmarkStart w:id="58" w:name="_Toc133"/>
      <w:bookmarkStart w:id="59" w:name="bookmark3144"/>
      <w:bookmarkStart w:id="60" w:name="bookmark3146"/>
      <w:bookmarkStart w:id="61" w:name="bookmark3147"/>
      <w:bookmarkStart w:id="62" w:name="bookmark3145"/>
      <w:r>
        <w:t>11.4</w:t>
      </w:r>
      <w:r>
        <w:rPr>
          <w:rFonts w:hint="eastAsia"/>
        </w:rPr>
        <w:t xml:space="preserve"> </w:t>
      </w:r>
      <w:r>
        <w:t xml:space="preserve"> 安全卫生</w:t>
      </w:r>
      <w:bookmarkEnd w:id="58"/>
      <w:bookmarkEnd w:id="59"/>
      <w:bookmarkEnd w:id="60"/>
      <w:bookmarkEnd w:id="61"/>
      <w:bookmarkEnd w:id="62"/>
      <w:r>
        <w:rPr>
          <w:rFonts w:hint="eastAsia"/>
        </w:rPr>
        <w:t>管理</w:t>
      </w:r>
    </w:p>
    <w:p>
      <w:pPr>
        <w:pStyle w:val="6"/>
        <w:spacing w:before="156" w:beforeLines="50" w:after="156" w:afterLines="50"/>
      </w:pPr>
      <w:bookmarkStart w:id="63" w:name="bookmark3149"/>
      <w:bookmarkStart w:id="64" w:name="bookmark3148"/>
      <w:bookmarkStart w:id="65" w:name="bookmark3150"/>
      <w:r>
        <w:t>11.4.1</w:t>
      </w:r>
      <w:r>
        <w:rPr>
          <w:rFonts w:hint="eastAsia"/>
        </w:rPr>
        <w:t>安全卫生管理机构设置</w:t>
      </w:r>
      <w:bookmarkEnd w:id="63"/>
      <w:bookmarkEnd w:id="64"/>
      <w:bookmarkEnd w:id="65"/>
    </w:p>
    <w:p>
      <w:pPr>
        <w:ind w:firstLine="480"/>
      </w:pPr>
      <w:r>
        <w:t>根据本工程的规模和特点，不</w:t>
      </w:r>
      <w:r>
        <w:rPr>
          <w:rFonts w:hint="eastAsia"/>
        </w:rPr>
        <w:t>再</w:t>
      </w:r>
      <w:r>
        <w:t>设置安全卫生管理机构，</w:t>
      </w:r>
      <w:r>
        <w:rPr>
          <w:rFonts w:hint="eastAsia"/>
        </w:rPr>
        <w:t>施工项目部设专职安全管理员，</w:t>
      </w:r>
      <w:r>
        <w:t>负责工程项目投产后的安全卫生方面的宣传教育和管理工作。</w:t>
      </w:r>
    </w:p>
    <w:p>
      <w:pPr>
        <w:ind w:firstLine="480"/>
      </w:pPr>
      <w:r>
        <w:rPr>
          <w:rFonts w:hint="eastAsia"/>
        </w:rPr>
        <w:t>安全生产是水利工程顺利运行的重要保证， 需由主要领导主管该工作，并经常对职工进行安全生产方面的培训。为保证职工的卫生管理和产安全，</w:t>
      </w:r>
      <w:r>
        <w:t>并根据工程运行的需要配置一定的防护工具。</w:t>
      </w:r>
    </w:p>
    <w:p>
      <w:pPr>
        <w:pStyle w:val="6"/>
        <w:spacing w:before="156" w:beforeLines="50" w:after="156" w:afterLines="50"/>
      </w:pPr>
      <w:bookmarkStart w:id="66" w:name="bookmark3152"/>
      <w:bookmarkStart w:id="67" w:name="bookmark3151"/>
      <w:bookmarkStart w:id="68" w:name="bookmark3153"/>
      <w:r>
        <w:t>11.4.2辅助用室</w:t>
      </w:r>
      <w:bookmarkEnd w:id="66"/>
      <w:bookmarkEnd w:id="67"/>
      <w:bookmarkEnd w:id="68"/>
    </w:p>
    <w:p>
      <w:pPr>
        <w:pStyle w:val="24"/>
        <w:spacing w:line="470" w:lineRule="exact"/>
        <w:ind w:firstLine="464"/>
        <w:rPr>
          <w:rFonts w:ascii="Times New Roman" w:hAnsi="Times New Roman" w:cs="Times New Roman"/>
          <w:snapToGrid w:val="0"/>
          <w:color w:val="000000"/>
          <w:spacing w:val="-4"/>
          <w:sz w:val="24"/>
          <w:szCs w:val="24"/>
          <w:lang w:val="en-US" w:eastAsia="zh-CN" w:bidi="ar-SA"/>
        </w:rPr>
      </w:pPr>
      <w:r>
        <w:rPr>
          <w:rFonts w:ascii="Times New Roman" w:hAnsi="Times New Roman" w:cs="Times New Roman"/>
          <w:snapToGrid w:val="0"/>
          <w:color w:val="000000"/>
          <w:spacing w:val="-4"/>
          <w:sz w:val="24"/>
          <w:szCs w:val="24"/>
          <w:lang w:val="en-US" w:eastAsia="zh-CN" w:bidi="ar-SA"/>
        </w:rPr>
        <w:t>工程的辅助用室</w:t>
      </w:r>
      <w:r>
        <w:rPr>
          <w:rFonts w:hint="eastAsia" w:ascii="Times New Roman" w:hAnsi="Times New Roman" w:cs="Times New Roman"/>
          <w:snapToGrid w:val="0"/>
          <w:color w:val="000000"/>
          <w:spacing w:val="-4"/>
          <w:sz w:val="24"/>
          <w:szCs w:val="24"/>
          <w:lang w:val="en-US" w:eastAsia="zh-CN" w:bidi="ar-SA"/>
        </w:rPr>
        <w:t>要求应符合</w:t>
      </w:r>
      <w:r>
        <w:rPr>
          <w:rFonts w:ascii="Times New Roman" w:hAnsi="Times New Roman" w:cs="Times New Roman"/>
          <w:snapToGrid w:val="0"/>
          <w:color w:val="000000"/>
          <w:spacing w:val="-4"/>
          <w:sz w:val="24"/>
          <w:szCs w:val="24"/>
          <w:lang w:val="en-US" w:eastAsia="zh-CN" w:bidi="ar-SA"/>
        </w:rPr>
        <w:t>《工业企业设计卫生标准》</w:t>
      </w:r>
      <w:r>
        <w:rPr>
          <w:rFonts w:hint="eastAsia" w:ascii="Times New Roman" w:hAnsi="Times New Roman" w:cs="Times New Roman"/>
          <w:snapToGrid w:val="0"/>
          <w:color w:val="000000"/>
          <w:spacing w:val="-4"/>
          <w:sz w:val="24"/>
          <w:szCs w:val="24"/>
          <w:lang w:val="en-US" w:eastAsia="zh-CN" w:bidi="ar-SA"/>
        </w:rPr>
        <w:t>（G</w:t>
      </w:r>
      <w:r>
        <w:rPr>
          <w:rFonts w:ascii="Times New Roman" w:hAnsi="Times New Roman" w:cs="Times New Roman"/>
          <w:snapToGrid w:val="0"/>
          <w:color w:val="000000"/>
          <w:spacing w:val="-4"/>
          <w:sz w:val="24"/>
          <w:szCs w:val="24"/>
          <w:lang w:val="en-US" w:eastAsia="zh-CN" w:bidi="ar-SA"/>
        </w:rPr>
        <w:t>BZ 1-2002</w:t>
      </w:r>
      <w:r>
        <w:rPr>
          <w:rFonts w:hint="eastAsia" w:ascii="Times New Roman" w:hAnsi="Times New Roman" w:cs="Times New Roman"/>
          <w:snapToGrid w:val="0"/>
          <w:color w:val="000000"/>
          <w:spacing w:val="-4"/>
          <w:sz w:val="24"/>
          <w:szCs w:val="24"/>
          <w:lang w:val="en-US" w:eastAsia="zh-CN" w:bidi="ar-SA"/>
        </w:rPr>
        <w:t>）</w:t>
      </w:r>
      <w:r>
        <w:rPr>
          <w:rFonts w:ascii="Times New Roman" w:hAnsi="Times New Roman" w:cs="Times New Roman"/>
          <w:snapToGrid w:val="0"/>
          <w:color w:val="000000"/>
          <w:spacing w:val="-4"/>
          <w:sz w:val="24"/>
          <w:szCs w:val="24"/>
          <w:lang w:val="en-US" w:eastAsia="zh-CN" w:bidi="ar-SA"/>
        </w:rPr>
        <w:t>。在生产和工作场所，须结合工程具体情况，按照《工业企业设计卫生标准》设置休息室和厕所</w:t>
      </w:r>
      <w:r>
        <w:rPr>
          <w:rFonts w:hint="eastAsia" w:ascii="Times New Roman" w:hAnsi="Times New Roman" w:cs="Times New Roman"/>
          <w:snapToGrid w:val="0"/>
          <w:color w:val="000000"/>
          <w:spacing w:val="-4"/>
          <w:sz w:val="24"/>
          <w:szCs w:val="24"/>
          <w:lang w:val="en-US" w:eastAsia="zh-CN" w:bidi="ar-SA"/>
        </w:rPr>
        <w:t>，休息室可兼作学习、进餐等使用，厕所污水须经过处理后才能排入水体。设置一定数量的淋浴室用于淋浴，工作场所考虑生活垃圾的清扫与存放。</w:t>
      </w:r>
    </w:p>
    <w:p>
      <w:pPr>
        <w:pStyle w:val="6"/>
        <w:spacing w:before="156" w:beforeLines="50" w:after="156" w:afterLines="50"/>
      </w:pPr>
      <w:bookmarkStart w:id="69" w:name="bookmark3154"/>
      <w:bookmarkStart w:id="70" w:name="bookmark3156"/>
      <w:bookmarkStart w:id="71" w:name="bookmark3155"/>
      <w:r>
        <w:t>11.4.3劳动安全管理措施</w:t>
      </w:r>
      <w:bookmarkEnd w:id="69"/>
      <w:bookmarkEnd w:id="70"/>
      <w:bookmarkEnd w:id="71"/>
    </w:p>
    <w:p>
      <w:pPr>
        <w:ind w:firstLine="480"/>
      </w:pPr>
      <w:r>
        <w:t>运行期内加强安全生产管理，建立、健全安全生产责任制度；完善安全生产条件，确保安全生产所必需的资金投入，提供符合国家标准或者行业标准的劳动防护用品。</w:t>
      </w:r>
    </w:p>
    <w:p>
      <w:pPr>
        <w:ind w:firstLine="480"/>
      </w:pPr>
      <w:r>
        <w:t>安全生产管理人员经安全生产培训、考核合格，从业人员经安全生产教育和培训合格，特种作业人员经专门的安全作业培训，并取得特种作业操作资格证。</w:t>
      </w:r>
    </w:p>
    <w:p>
      <w:pPr>
        <w:ind w:firstLine="480"/>
      </w:pPr>
      <w:r>
        <w:t>为迅速而有效地将事故损失减少至最低程度，应编制事故应急预案</w:t>
      </w:r>
      <w:r>
        <w:rPr>
          <w:rFonts w:hint="eastAsia"/>
        </w:rPr>
        <w:t>，以应对各类事故、工程应急抢险、暴雨及超标洪水、地震及边坡失稳、突发性群体事件等。</w:t>
      </w:r>
      <w:r>
        <w:t>事故发生后，事故现场有关人员应立即向本单位负责人报告；单位负责人接到报告后，应于1小时内向事故发生地县级以上人民政府安全生产监督管理部门和负有安全生产监督管理职责的有关部门报告。</w:t>
      </w:r>
      <w:bookmarkEnd w:id="8"/>
      <w:bookmarkEnd w:id="9"/>
      <w:bookmarkEnd w:id="10"/>
      <w:bookmarkEnd w:id="11"/>
    </w:p>
    <w:sectPr>
      <w:footerReference r:id="rId12"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0" w:firstLineChars="0"/>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ind w:firstLine="0" w:firstLineChars="0"/>
                          </w:pP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Cz&#10;SVju0AAAAAUBAAAPAAAAAAAAAAEAIAAAADgAAABkcnMvZG93bnJldi54bWxQSwECFAAUAAAACACH&#10;TuJAF7rpKxYCAAAZBAAADgAAAAAAAAABACAAAAA1AQAAZHJzL2Uyb0RvYy54bWxQSwUGAAAAAAYA&#10;BgBZAQAAvQUAAAAA&#10;">
              <v:fill on="f" focussize="0,0"/>
              <v:stroke on="f" weight="0.5pt"/>
              <v:imagedata o:title=""/>
              <o:lock v:ext="edit" aspectratio="f"/>
              <v:textbox inset="0mm,0mm,0mm,0mm" style="mso-fit-shape-to-text:t;">
                <w:txbxContent>
                  <w:p>
                    <w:pPr>
                      <w:pStyle w:val="13"/>
                      <w:ind w:firstLine="0" w:firstLineChars="0"/>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0" w:firstLineChars="0"/>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ind w:firstLine="0" w:firstLineChars="0"/>
                          </w:pP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F26z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S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gF26zFQIAABkEAAAOAAAAAAAAAAEAIAAAADUBAABkcnMvZTJvRG9jLnhtbFBLBQYAAAAABgAG&#10;AFkBAAC8BQAAAAA=&#10;">
              <v:fill on="f" focussize="0,0"/>
              <v:stroke on="f" weight="0.5pt"/>
              <v:imagedata o:title=""/>
              <o:lock v:ext="edit" aspectratio="f"/>
              <v:textbox inset="0mm,0mm,0mm,0mm" style="mso-fit-shape-to-text:t;">
                <w:txbxContent>
                  <w:p>
                    <w:pPr>
                      <w:pStyle w:val="13"/>
                      <w:ind w:firstLine="0" w:firstLineChars="0"/>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0" w:firstLineChars="0"/>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ind w:firstLine="0" w:firstLineChars="0"/>
                          </w:pP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AnWxrOFQIAABkEAAAOAAAAAAAAAAEAIAAAADUBAABkcnMvZTJvRG9jLnhtbFBLBQYAAAAABgAG&#10;AFkBAAC8BQAAAAA=&#10;">
              <v:fill on="f" focussize="0,0"/>
              <v:stroke on="f" weight="0.5pt"/>
              <v:imagedata o:title=""/>
              <o:lock v:ext="edit" aspectratio="f"/>
              <v:textbox inset="0mm,0mm,0mm,0mm" style="mso-fit-shape-to-text:t;">
                <w:txbxContent>
                  <w:p>
                    <w:pPr>
                      <w:pStyle w:val="13"/>
                      <w:ind w:firstLine="0" w:firstLineChars="0"/>
                    </w:pP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ind w:firstLine="360"/>
                          </w:pPr>
                          <w:r>
                            <w:rPr>
                              <w:rStyle w:val="18"/>
                              <w:rFonts w:hint="eastAsia"/>
                            </w:rPr>
                            <w:t>1</w:t>
                          </w:r>
                          <w:r>
                            <w:rPr>
                              <w:rStyle w:val="18"/>
                              <w:rFonts w:hint="eastAsia"/>
                              <w:lang w:val="en-US" w:eastAsia="zh-CN"/>
                            </w:rPr>
                            <w:t>1</w:t>
                          </w:r>
                          <w:r>
                            <w:rPr>
                              <w:rStyle w:val="18"/>
                            </w:rPr>
                            <w:t>-</w:t>
                          </w:r>
                          <w:r>
                            <w:rPr>
                              <w:rStyle w:val="18"/>
                            </w:rPr>
                            <w:fldChar w:fldCharType="begin"/>
                          </w:r>
                          <w:r>
                            <w:rPr>
                              <w:rStyle w:val="18"/>
                            </w:rPr>
                            <w:instrText xml:space="preserve">PAGE  </w:instrText>
                          </w:r>
                          <w:r>
                            <w:rPr>
                              <w:rStyle w:val="18"/>
                            </w:rPr>
                            <w:fldChar w:fldCharType="separate"/>
                          </w:r>
                          <w:r>
                            <w:rPr>
                              <w:rStyle w:val="18"/>
                            </w:rPr>
                            <w:t>2</w:t>
                          </w:r>
                          <w:r>
                            <w:rPr>
                              <w:rStyle w:val="18"/>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q+O8FQIAABkEAAAOAAAAAAAAAAEAIAAAADUBAABkcnMvZTJvRG9jLnhtbFBLBQYAAAAABgAG&#10;AFkBAAC8BQAAAAA=&#10;">
              <v:fill on="f" focussize="0,0"/>
              <v:stroke on="f" weight="0.5pt"/>
              <v:imagedata o:title=""/>
              <o:lock v:ext="edit" aspectratio="f"/>
              <v:textbox inset="0mm,0mm,0mm,0mm" style="mso-fit-shape-to-text:t;">
                <w:txbxContent>
                  <w:p>
                    <w:pPr>
                      <w:pStyle w:val="13"/>
                      <w:ind w:firstLine="360"/>
                    </w:pPr>
                    <w:r>
                      <w:rPr>
                        <w:rStyle w:val="18"/>
                        <w:rFonts w:hint="eastAsia"/>
                      </w:rPr>
                      <w:t>1</w:t>
                    </w:r>
                    <w:r>
                      <w:rPr>
                        <w:rStyle w:val="18"/>
                        <w:rFonts w:hint="eastAsia"/>
                        <w:lang w:val="en-US" w:eastAsia="zh-CN"/>
                      </w:rPr>
                      <w:t>1</w:t>
                    </w:r>
                    <w:r>
                      <w:rPr>
                        <w:rStyle w:val="18"/>
                      </w:rPr>
                      <w:t>-</w:t>
                    </w:r>
                    <w:r>
                      <w:rPr>
                        <w:rStyle w:val="18"/>
                      </w:rPr>
                      <w:fldChar w:fldCharType="begin"/>
                    </w:r>
                    <w:r>
                      <w:rPr>
                        <w:rStyle w:val="18"/>
                      </w:rPr>
                      <w:instrText xml:space="preserve">PAGE  </w:instrText>
                    </w:r>
                    <w:r>
                      <w:rPr>
                        <w:rStyle w:val="18"/>
                      </w:rPr>
                      <w:fldChar w:fldCharType="separate"/>
                    </w:r>
                    <w:r>
                      <w:rPr>
                        <w:rStyle w:val="18"/>
                      </w:rPr>
                      <w:t>2</w:t>
                    </w:r>
                    <w:r>
                      <w:rPr>
                        <w:rStyle w:val="1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exact"/>
      <w:ind w:firstLine="480"/>
    </w:pPr>
    <w:r>
      <mc:AlternateContent>
        <mc:Choice Requires="wps">
          <w:drawing>
            <wp:anchor distT="0" distB="0" distL="114300" distR="114300" simplePos="0" relativeHeight="251659264" behindDoc="1" locked="0" layoutInCell="1" allowOverlap="1">
              <wp:simplePos x="0" y="0"/>
              <wp:positionH relativeFrom="page">
                <wp:posOffset>934720</wp:posOffset>
              </wp:positionH>
              <wp:positionV relativeFrom="page">
                <wp:posOffset>728980</wp:posOffset>
              </wp:positionV>
              <wp:extent cx="5727065" cy="0"/>
              <wp:effectExtent l="0" t="0" r="0" b="0"/>
              <wp:wrapNone/>
              <wp:docPr id="2721" name="Shape 2721"/>
              <wp:cNvGraphicFramePr/>
              <a:graphic xmlns:a="http://schemas.openxmlformats.org/drawingml/2006/main">
                <a:graphicData uri="http://schemas.microsoft.com/office/word/2010/wordprocessingShape">
                  <wps:wsp>
                    <wps:cNvCnPr/>
                    <wps:spPr>
                      <a:xfrm>
                        <a:off x="0" y="0"/>
                        <a:ext cx="5727065" cy="0"/>
                      </a:xfrm>
                      <a:prstGeom prst="straightConnector1">
                        <a:avLst/>
                      </a:prstGeom>
                      <a:ln w="12700">
                        <a:solidFill>
                          <a:srgbClr val="FFFFFF"/>
                        </a:solidFill>
                      </a:ln>
                    </wps:spPr>
                    <wps:bodyPr/>
                  </wps:wsp>
                </a:graphicData>
              </a:graphic>
            </wp:anchor>
          </w:drawing>
        </mc:Choice>
        <mc:Fallback>
          <w:pict>
            <v:shape id="Shape 2721" o:spid="_x0000_s1026" o:spt="32" type="#_x0000_t32" style="position:absolute;left:0pt;margin-left:73.6pt;margin-top:57.4pt;height:0pt;width:450.95pt;mso-position-horizontal-relative:page;mso-position-vertical-relative:page;z-index:-251657216;mso-width-relative:page;mso-height-relative:page;" filled="f" stroked="t" coordsize="21600,21600" o:gfxdata="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WAAAAZHJzL1BLAQIUABQAAAAIAIdO4kDTKC5+1wAAAAwBAAAPAAAAAAAA&#10;AAEAIAAAADgAAABkcnMvZG93bnJldi54bWxQSwECFAAUAAAACACHTuJAUu+zIosBAAASAwAADgAA&#10;AAAAAAABACAAAAA8AQAAZHJzL2Uyb0RvYy54bWxQSwUGAAAAAAYABgBZAQAAOQUAAAAA&#10;">
              <v:fill on="f" focussize="0,0"/>
              <v:stroke weight="1pt" color="#FFFFFF" joinstyle="round"/>
              <v:imagedata o:title=""/>
              <o:lock v:ext="edit" aspectratio="f"/>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true"/>
  <w:bordersDoNotSurroundFooter w:val="true"/>
  <w:documentProtection w:enforcement="0"/>
  <w:defaultTabStop w:val="420"/>
  <w:drawingGridVerticalSpacing w:val="156"/>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DBlMWQ0OGNiZmU5MjZjNjY2MjA0N2MxYzJmZGMifQ=="/>
  </w:docVars>
  <w:rsids>
    <w:rsidRoot w:val="004C583F"/>
    <w:rsid w:val="0008083D"/>
    <w:rsid w:val="000C1F39"/>
    <w:rsid w:val="000F03AE"/>
    <w:rsid w:val="0012038C"/>
    <w:rsid w:val="0015626F"/>
    <w:rsid w:val="00182D4F"/>
    <w:rsid w:val="00196410"/>
    <w:rsid w:val="001B1E66"/>
    <w:rsid w:val="001D04A4"/>
    <w:rsid w:val="00211134"/>
    <w:rsid w:val="00226FCD"/>
    <w:rsid w:val="00264E29"/>
    <w:rsid w:val="002720BF"/>
    <w:rsid w:val="002E2CAC"/>
    <w:rsid w:val="002F5902"/>
    <w:rsid w:val="00324DB5"/>
    <w:rsid w:val="00380F30"/>
    <w:rsid w:val="00394EDB"/>
    <w:rsid w:val="00436E1D"/>
    <w:rsid w:val="004A29DF"/>
    <w:rsid w:val="004C583F"/>
    <w:rsid w:val="004D17E1"/>
    <w:rsid w:val="004F1EA1"/>
    <w:rsid w:val="00553F65"/>
    <w:rsid w:val="005B0947"/>
    <w:rsid w:val="005D48FD"/>
    <w:rsid w:val="005F3562"/>
    <w:rsid w:val="006A0EDC"/>
    <w:rsid w:val="006E4697"/>
    <w:rsid w:val="006E5FC4"/>
    <w:rsid w:val="0070660C"/>
    <w:rsid w:val="00724A1E"/>
    <w:rsid w:val="00785754"/>
    <w:rsid w:val="007B3591"/>
    <w:rsid w:val="0082519B"/>
    <w:rsid w:val="00860008"/>
    <w:rsid w:val="00877F54"/>
    <w:rsid w:val="00916AAA"/>
    <w:rsid w:val="009F7EBB"/>
    <w:rsid w:val="00A52574"/>
    <w:rsid w:val="00AB78B6"/>
    <w:rsid w:val="00AD2D2F"/>
    <w:rsid w:val="00B2520E"/>
    <w:rsid w:val="00BC6610"/>
    <w:rsid w:val="00C07B0A"/>
    <w:rsid w:val="00C27D5D"/>
    <w:rsid w:val="00CC263B"/>
    <w:rsid w:val="00CD2CE7"/>
    <w:rsid w:val="00CE73A4"/>
    <w:rsid w:val="00D12E13"/>
    <w:rsid w:val="00D215D4"/>
    <w:rsid w:val="00DA3FBF"/>
    <w:rsid w:val="00DC5BA2"/>
    <w:rsid w:val="00EB6817"/>
    <w:rsid w:val="00ED19CD"/>
    <w:rsid w:val="00ED5CCE"/>
    <w:rsid w:val="00EE4B85"/>
    <w:rsid w:val="00F07064"/>
    <w:rsid w:val="00F201B8"/>
    <w:rsid w:val="00F35F44"/>
    <w:rsid w:val="01693A75"/>
    <w:rsid w:val="09EF1C76"/>
    <w:rsid w:val="0B09160F"/>
    <w:rsid w:val="0B7F0123"/>
    <w:rsid w:val="0D431BDA"/>
    <w:rsid w:val="0DC31DBE"/>
    <w:rsid w:val="0F5C5C7E"/>
    <w:rsid w:val="13FA3619"/>
    <w:rsid w:val="175E73CA"/>
    <w:rsid w:val="19526D4B"/>
    <w:rsid w:val="195A2597"/>
    <w:rsid w:val="1CA002D9"/>
    <w:rsid w:val="1EAFE30C"/>
    <w:rsid w:val="24D35E92"/>
    <w:rsid w:val="266E47E1"/>
    <w:rsid w:val="287C29F4"/>
    <w:rsid w:val="29692FA5"/>
    <w:rsid w:val="2EFF94E1"/>
    <w:rsid w:val="2F2A280A"/>
    <w:rsid w:val="2FFA52D4"/>
    <w:rsid w:val="328E572C"/>
    <w:rsid w:val="3491604D"/>
    <w:rsid w:val="3582027D"/>
    <w:rsid w:val="3AC33DB9"/>
    <w:rsid w:val="3FCF5140"/>
    <w:rsid w:val="3FDE759D"/>
    <w:rsid w:val="3FFB0FB6"/>
    <w:rsid w:val="410615BE"/>
    <w:rsid w:val="432C01F7"/>
    <w:rsid w:val="454F71C6"/>
    <w:rsid w:val="4B582789"/>
    <w:rsid w:val="4D787676"/>
    <w:rsid w:val="4E5E30B7"/>
    <w:rsid w:val="5394300C"/>
    <w:rsid w:val="56246FB6"/>
    <w:rsid w:val="5689373E"/>
    <w:rsid w:val="5AB8329A"/>
    <w:rsid w:val="5DFE6619"/>
    <w:rsid w:val="5F2861F6"/>
    <w:rsid w:val="61102872"/>
    <w:rsid w:val="61975ECB"/>
    <w:rsid w:val="61A47DA3"/>
    <w:rsid w:val="672D1356"/>
    <w:rsid w:val="69DFE64C"/>
    <w:rsid w:val="6CF25372"/>
    <w:rsid w:val="6DDB5755"/>
    <w:rsid w:val="6DE26FFD"/>
    <w:rsid w:val="6FF30595"/>
    <w:rsid w:val="70954701"/>
    <w:rsid w:val="71D63DDC"/>
    <w:rsid w:val="74EBC9B0"/>
    <w:rsid w:val="777DB88D"/>
    <w:rsid w:val="77CC50AF"/>
    <w:rsid w:val="77CFE3D1"/>
    <w:rsid w:val="79A57AA3"/>
    <w:rsid w:val="7A6A78F6"/>
    <w:rsid w:val="7C261A2D"/>
    <w:rsid w:val="7CAB7325"/>
    <w:rsid w:val="7E7425FC"/>
    <w:rsid w:val="7EFD3513"/>
    <w:rsid w:val="7FBF2403"/>
    <w:rsid w:val="AB49C6D6"/>
    <w:rsid w:val="BBDDEC8D"/>
    <w:rsid w:val="BFEFE26C"/>
    <w:rsid w:val="C5E7E552"/>
    <w:rsid w:val="D72C56D1"/>
    <w:rsid w:val="E73B19D9"/>
    <w:rsid w:val="E7B11735"/>
    <w:rsid w:val="EF6E8C4F"/>
    <w:rsid w:val="EFFFC339"/>
    <w:rsid w:val="F6DFFEBE"/>
    <w:rsid w:val="FBA5FDE4"/>
    <w:rsid w:val="FDA75968"/>
    <w:rsid w:val="FEF781D0"/>
    <w:rsid w:val="FF5FE0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20" w:lineRule="exact"/>
      <w:ind w:firstLine="960" w:firstLineChars="200"/>
      <w:jc w:val="both"/>
    </w:pPr>
    <w:rPr>
      <w:rFonts w:ascii="Times New Roman" w:hAnsi="Times New Roman" w:eastAsia="宋体" w:cs="Times New Roman"/>
      <w:kern w:val="2"/>
      <w:sz w:val="24"/>
      <w:szCs w:val="24"/>
      <w:lang w:val="en-US" w:eastAsia="zh-CN" w:bidi="ar-SA"/>
    </w:rPr>
  </w:style>
  <w:style w:type="paragraph" w:styleId="4">
    <w:name w:val="heading 1"/>
    <w:basedOn w:val="1"/>
    <w:next w:val="1"/>
    <w:link w:val="37"/>
    <w:qFormat/>
    <w:uiPriority w:val="0"/>
    <w:pPr>
      <w:keepNext/>
      <w:keepLines/>
      <w:spacing w:before="340" w:after="330" w:line="578" w:lineRule="atLeast"/>
      <w:outlineLvl w:val="0"/>
    </w:pPr>
    <w:rPr>
      <w:b/>
      <w:bCs/>
      <w:kern w:val="44"/>
      <w:sz w:val="44"/>
      <w:szCs w:val="44"/>
    </w:rPr>
  </w:style>
  <w:style w:type="paragraph" w:styleId="5">
    <w:name w:val="heading 2"/>
    <w:basedOn w:val="1"/>
    <w:next w:val="1"/>
    <w:unhideWhenUsed/>
    <w:qFormat/>
    <w:uiPriority w:val="0"/>
    <w:pPr>
      <w:keepNext/>
      <w:keepLines/>
      <w:ind w:firstLine="0" w:firstLineChars="0"/>
      <w:jc w:val="left"/>
      <w:outlineLvl w:val="1"/>
    </w:pPr>
    <w:rPr>
      <w:rFonts w:ascii="Arial" w:hAnsi="Arial" w:eastAsia="黑体"/>
    </w:rPr>
  </w:style>
  <w:style w:type="paragraph" w:styleId="6">
    <w:name w:val="heading 3"/>
    <w:basedOn w:val="1"/>
    <w:next w:val="1"/>
    <w:link w:val="35"/>
    <w:unhideWhenUsed/>
    <w:qFormat/>
    <w:uiPriority w:val="0"/>
    <w:pPr>
      <w:keepNext/>
      <w:keepLines/>
      <w:spacing w:line="360" w:lineRule="auto"/>
      <w:ind w:firstLine="0" w:firstLineChars="0"/>
      <w:jc w:val="left"/>
      <w:outlineLvl w:val="2"/>
    </w:pPr>
    <w:rPr>
      <w:b/>
    </w:rPr>
  </w:style>
  <w:style w:type="paragraph" w:styleId="7">
    <w:name w:val="heading 4"/>
    <w:basedOn w:val="1"/>
    <w:next w:val="1"/>
    <w:link w:val="23"/>
    <w:unhideWhenUsed/>
    <w:qFormat/>
    <w:uiPriority w:val="0"/>
    <w:pPr>
      <w:keepNext/>
      <w:keepLines/>
      <w:spacing w:line="360" w:lineRule="auto"/>
      <w:ind w:firstLine="0" w:firstLineChars="0"/>
      <w:jc w:val="left"/>
      <w:outlineLvl w:val="3"/>
    </w:p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unhideWhenUsed/>
    <w:qFormat/>
    <w:uiPriority w:val="0"/>
    <w:pPr>
      <w:spacing w:after="120"/>
    </w:pPr>
    <w:rPr>
      <w:rFonts w:ascii="Calibri" w:hAnsi="Calibri"/>
      <w:szCs w:val="22"/>
    </w:rPr>
  </w:style>
  <w:style w:type="paragraph" w:styleId="3">
    <w:name w:val="List"/>
    <w:basedOn w:val="1"/>
    <w:qFormat/>
    <w:uiPriority w:val="0"/>
    <w:pPr>
      <w:ind w:left="200" w:hanging="200" w:hangingChars="200"/>
    </w:pPr>
  </w:style>
  <w:style w:type="paragraph" w:styleId="8">
    <w:name w:val="caption"/>
    <w:basedOn w:val="1"/>
    <w:next w:val="1"/>
    <w:unhideWhenUsed/>
    <w:qFormat/>
    <w:uiPriority w:val="35"/>
    <w:pPr>
      <w:textAlignment w:val="center"/>
    </w:pPr>
    <w:rPr>
      <w:rFonts w:eastAsia="黑体"/>
      <w:sz w:val="21"/>
      <w:szCs w:val="20"/>
    </w:rPr>
  </w:style>
  <w:style w:type="paragraph" w:styleId="9">
    <w:name w:val="annotation text"/>
    <w:basedOn w:val="1"/>
    <w:qFormat/>
    <w:uiPriority w:val="0"/>
    <w:pPr>
      <w:jc w:val="left"/>
    </w:pPr>
  </w:style>
  <w:style w:type="paragraph" w:styleId="10">
    <w:name w:val="Body Text Indent"/>
    <w:basedOn w:val="1"/>
    <w:qFormat/>
    <w:uiPriority w:val="0"/>
    <w:pPr>
      <w:autoSpaceDE w:val="0"/>
      <w:autoSpaceDN w:val="0"/>
      <w:spacing w:line="560" w:lineRule="atLeast"/>
      <w:ind w:firstLine="510"/>
      <w:textAlignment w:val="bottom"/>
    </w:pPr>
    <w:rPr>
      <w:position w:val="16"/>
      <w:sz w:val="28"/>
      <w:szCs w:val="20"/>
    </w:rPr>
  </w:style>
  <w:style w:type="paragraph" w:styleId="11">
    <w:name w:val="Plain Text"/>
    <w:basedOn w:val="1"/>
    <w:qFormat/>
    <w:uiPriority w:val="0"/>
    <w:rPr>
      <w:rFonts w:ascii="宋体" w:hAnsi="Courier New"/>
      <w:szCs w:val="20"/>
    </w:rPr>
  </w:style>
  <w:style w:type="paragraph" w:styleId="12">
    <w:name w:val="Balloon Text"/>
    <w:basedOn w:val="1"/>
    <w:semiHidden/>
    <w:qFormat/>
    <w:uiPriority w:val="0"/>
    <w:pPr>
      <w:spacing w:line="360" w:lineRule="auto"/>
      <w:ind w:firstLine="200"/>
    </w:pPr>
    <w:rPr>
      <w:sz w:val="18"/>
      <w:szCs w:val="18"/>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5">
    <w:name w:val="toc 2"/>
    <w:basedOn w:val="1"/>
    <w:next w:val="1"/>
    <w:qFormat/>
    <w:uiPriority w:val="0"/>
    <w:pPr>
      <w:ind w:left="420" w:leftChars="200"/>
    </w:pPr>
  </w:style>
  <w:style w:type="character" w:styleId="18">
    <w:name w:val="page number"/>
    <w:qFormat/>
    <w:uiPriority w:val="99"/>
  </w:style>
  <w:style w:type="paragraph" w:customStyle="1" w:styleId="1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0">
    <w:name w:val="正文(小4宋)"/>
    <w:basedOn w:val="1"/>
    <w:qFormat/>
    <w:uiPriority w:val="0"/>
    <w:pPr>
      <w:ind w:firstLine="200"/>
    </w:pPr>
    <w:rPr>
      <w:rFonts w:ascii="宋体"/>
      <w:szCs w:val="20"/>
    </w:rPr>
  </w:style>
  <w:style w:type="paragraph" w:customStyle="1" w:styleId="21">
    <w:name w:val="正文 首行缩进： 2 字符"/>
    <w:basedOn w:val="1"/>
    <w:qFormat/>
    <w:uiPriority w:val="0"/>
    <w:pPr>
      <w:ind w:firstLine="480"/>
      <w:textAlignment w:val="center"/>
    </w:pPr>
    <w:rPr>
      <w:rFonts w:cs="宋体"/>
      <w:szCs w:val="20"/>
      <w:lang w:val="zh-CN"/>
    </w:rPr>
  </w:style>
  <w:style w:type="paragraph" w:styleId="22">
    <w:name w:val="List Paragraph"/>
    <w:basedOn w:val="1"/>
    <w:qFormat/>
    <w:uiPriority w:val="34"/>
    <w:pPr>
      <w:ind w:firstLine="420"/>
    </w:pPr>
  </w:style>
  <w:style w:type="character" w:customStyle="1" w:styleId="23">
    <w:name w:val="标题 4 字符"/>
    <w:link w:val="7"/>
    <w:qFormat/>
    <w:uiPriority w:val="0"/>
    <w:rPr>
      <w:rFonts w:ascii="Times New Roman" w:hAnsi="Times New Roman" w:eastAsia="宋体"/>
      <w:sz w:val="24"/>
    </w:rPr>
  </w:style>
  <w:style w:type="paragraph" w:customStyle="1" w:styleId="24">
    <w:name w:val="Body text|1"/>
    <w:basedOn w:val="1"/>
    <w:qFormat/>
    <w:uiPriority w:val="0"/>
    <w:rPr>
      <w:rFonts w:ascii="宋体" w:hAnsi="宋体" w:cs="宋体"/>
      <w:color w:val="3B3732"/>
      <w:sz w:val="20"/>
      <w:szCs w:val="20"/>
      <w:lang w:val="zh-TW" w:eastAsia="zh-TW" w:bidi="zh-TW"/>
    </w:rPr>
  </w:style>
  <w:style w:type="paragraph" w:customStyle="1" w:styleId="25">
    <w:name w:val="Heading #4|1"/>
    <w:basedOn w:val="1"/>
    <w:qFormat/>
    <w:uiPriority w:val="0"/>
    <w:pPr>
      <w:outlineLvl w:val="3"/>
    </w:pPr>
    <w:rPr>
      <w:sz w:val="28"/>
      <w:szCs w:val="28"/>
      <w:lang w:val="zh-TW" w:eastAsia="zh-TW" w:bidi="zh-TW"/>
    </w:rPr>
  </w:style>
  <w:style w:type="paragraph" w:customStyle="1" w:styleId="26">
    <w:name w:val="Heading #2|1"/>
    <w:basedOn w:val="1"/>
    <w:qFormat/>
    <w:uiPriority w:val="0"/>
    <w:pPr>
      <w:spacing w:line="442" w:lineRule="exact"/>
      <w:ind w:left="180"/>
      <w:outlineLvl w:val="1"/>
    </w:pPr>
    <w:rPr>
      <w:b/>
      <w:bCs/>
      <w:color w:val="3B3732"/>
      <w:lang w:val="zh-TW" w:eastAsia="zh-TW" w:bidi="zh-TW"/>
    </w:rPr>
  </w:style>
  <w:style w:type="paragraph" w:customStyle="1" w:styleId="27">
    <w:name w:val="Heading #3|1"/>
    <w:basedOn w:val="1"/>
    <w:qFormat/>
    <w:uiPriority w:val="0"/>
    <w:pPr>
      <w:jc w:val="right"/>
      <w:outlineLvl w:val="2"/>
    </w:pPr>
    <w:rPr>
      <w:rFonts w:ascii="宋体" w:hAnsi="宋体" w:cs="宋体"/>
      <w:color w:val="5E5B58"/>
      <w:sz w:val="22"/>
      <w:szCs w:val="22"/>
      <w:lang w:val="zh-TW" w:eastAsia="zh-TW" w:bidi="zh-TW"/>
    </w:rPr>
  </w:style>
  <w:style w:type="paragraph" w:customStyle="1" w:styleId="28">
    <w:name w:val="Other|1"/>
    <w:basedOn w:val="1"/>
    <w:qFormat/>
    <w:uiPriority w:val="0"/>
    <w:pPr>
      <w:spacing w:after="200" w:line="266" w:lineRule="auto"/>
      <w:ind w:firstLine="400"/>
    </w:pPr>
    <w:rPr>
      <w:rFonts w:ascii="宋体" w:hAnsi="宋体" w:cs="宋体"/>
      <w:color w:val="3B3732"/>
      <w:sz w:val="18"/>
      <w:szCs w:val="18"/>
      <w:lang w:val="zh-TW" w:eastAsia="zh-TW" w:bidi="zh-TW"/>
    </w:rPr>
  </w:style>
  <w:style w:type="paragraph" w:customStyle="1" w:styleId="29">
    <w:name w:val="Header or footer|2"/>
    <w:basedOn w:val="1"/>
    <w:qFormat/>
    <w:uiPriority w:val="0"/>
    <w:rPr>
      <w:sz w:val="20"/>
      <w:szCs w:val="20"/>
      <w:lang w:val="zh-TW" w:eastAsia="zh-TW" w:bidi="zh-TW"/>
    </w:rPr>
  </w:style>
  <w:style w:type="paragraph" w:customStyle="1" w:styleId="30">
    <w:name w:val="Header or footer|1"/>
    <w:basedOn w:val="1"/>
    <w:qFormat/>
    <w:uiPriority w:val="0"/>
    <w:rPr>
      <w:rFonts w:ascii="宋体" w:hAnsi="宋体" w:cs="宋体"/>
      <w:sz w:val="18"/>
      <w:szCs w:val="18"/>
      <w:lang w:val="zh-TW" w:eastAsia="zh-TW" w:bidi="zh-TW"/>
    </w:rPr>
  </w:style>
  <w:style w:type="paragraph" w:customStyle="1" w:styleId="31">
    <w:name w:val="Table caption|1"/>
    <w:basedOn w:val="1"/>
    <w:qFormat/>
    <w:uiPriority w:val="0"/>
    <w:rPr>
      <w:rFonts w:ascii="宋体" w:hAnsi="宋体" w:cs="宋体"/>
      <w:sz w:val="20"/>
      <w:szCs w:val="20"/>
      <w:lang w:val="zh-TW" w:eastAsia="zh-TW" w:bidi="zh-TW"/>
    </w:rPr>
  </w:style>
  <w:style w:type="paragraph" w:customStyle="1" w:styleId="32">
    <w:name w:val="HCH正文"/>
    <w:qFormat/>
    <w:uiPriority w:val="0"/>
    <w:pPr>
      <w:spacing w:line="500" w:lineRule="exact"/>
      <w:ind w:firstLine="200" w:firstLineChars="200"/>
    </w:pPr>
    <w:rPr>
      <w:rFonts w:ascii="Times New Roman" w:hAnsi="Times New Roman" w:eastAsia="宋体" w:cs="Times New Roman"/>
      <w:kern w:val="2"/>
      <w:sz w:val="24"/>
      <w:szCs w:val="21"/>
      <w:lang w:val="en-US" w:eastAsia="zh-CN" w:bidi="ar-SA"/>
    </w:rPr>
  </w:style>
  <w:style w:type="paragraph" w:customStyle="1" w:styleId="33">
    <w:name w:val="AAA"/>
    <w:basedOn w:val="1"/>
    <w:qFormat/>
    <w:uiPriority w:val="0"/>
    <w:pPr>
      <w:adjustRightInd w:val="0"/>
      <w:spacing w:line="500" w:lineRule="atLeast"/>
      <w:ind w:firstLine="480"/>
    </w:pPr>
    <w:rPr>
      <w:lang w:val="pt-BR"/>
    </w:rPr>
  </w:style>
  <w:style w:type="paragraph" w:customStyle="1" w:styleId="34">
    <w:name w:val="正文-海洋"/>
    <w:basedOn w:val="1"/>
    <w:qFormat/>
    <w:uiPriority w:val="0"/>
    <w:pPr>
      <w:ind w:firstLine="520"/>
    </w:pPr>
    <w:rPr>
      <w:rFonts w:cs="宋体"/>
    </w:rPr>
  </w:style>
  <w:style w:type="character" w:customStyle="1" w:styleId="35">
    <w:name w:val="标题 3 字符"/>
    <w:link w:val="6"/>
    <w:qFormat/>
    <w:uiPriority w:val="0"/>
    <w:rPr>
      <w:b/>
    </w:rPr>
  </w:style>
  <w:style w:type="paragraph" w:customStyle="1" w:styleId="36">
    <w:name w:val="Char Char Char Char Char Char Char"/>
    <w:basedOn w:val="1"/>
    <w:next w:val="4"/>
    <w:semiHidden/>
    <w:qFormat/>
    <w:uiPriority w:val="0"/>
    <w:pPr>
      <w:spacing w:line="360" w:lineRule="auto"/>
      <w:ind w:firstLine="200"/>
      <w:jc w:val="left"/>
    </w:pPr>
    <w:rPr>
      <w:rFonts w:eastAsia="黑体"/>
      <w:sz w:val="28"/>
      <w:szCs w:val="22"/>
    </w:rPr>
  </w:style>
  <w:style w:type="character" w:customStyle="1" w:styleId="37">
    <w:name w:val="标题 1 字符"/>
    <w:basedOn w:val="17"/>
    <w:link w:val="4"/>
    <w:qFormat/>
    <w:uiPriority w:val="0"/>
    <w:rPr>
      <w:b/>
      <w:bCs/>
      <w:kern w:val="44"/>
      <w:sz w:val="44"/>
      <w:szCs w:val="44"/>
    </w:rPr>
  </w:style>
  <w:style w:type="paragraph" w:customStyle="1" w:styleId="38">
    <w:name w:val="Land Topic 3"/>
    <w:basedOn w:val="6"/>
    <w:next w:val="1"/>
    <w:link w:val="39"/>
    <w:qFormat/>
    <w:uiPriority w:val="0"/>
    <w:pPr>
      <w:tabs>
        <w:tab w:val="left" w:pos="900"/>
      </w:tabs>
      <w:spacing w:before="80" w:beforeLines="80" w:after="50" w:afterLines="50" w:line="520" w:lineRule="exact"/>
      <w:jc w:val="both"/>
    </w:pPr>
    <w:rPr>
      <w:rFonts w:eastAsia="黑体"/>
      <w:b w:val="0"/>
      <w:sz w:val="28"/>
      <w:szCs w:val="20"/>
    </w:rPr>
  </w:style>
  <w:style w:type="character" w:customStyle="1" w:styleId="39">
    <w:name w:val="Land Topic 3 Char"/>
    <w:link w:val="38"/>
    <w:qFormat/>
    <w:uiPriority w:val="0"/>
    <w:rPr>
      <w:rFonts w:eastAsia="黑体"/>
      <w:kern w:val="2"/>
      <w:sz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1039</Words>
  <Characters>5926</Characters>
  <Lines>49</Lines>
  <Paragraphs>13</Paragraphs>
  <TotalTime>0</TotalTime>
  <ScaleCrop>false</ScaleCrop>
  <LinksUpToDate>false</LinksUpToDate>
  <CharactersWithSpaces>6952</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2022-10-14T19:25:00Z</dcterms:created>
  <dc:creator>zbh</dc:creator>
  <cp:lastModifiedBy>bhzhao</cp:lastModifiedBy>
  <dcterms:modified xsi:type="dcterms:W3CDTF">2023-04-03T10:15:03Z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DA1EA407AFF14814BD35EEECB143EA4D</vt:lpwstr>
  </property>
</Properties>
</file>